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01f9af8b29f439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30970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OPATIJA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825.508,42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1.049.871,20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1.027.181,20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25.970,92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22.690,00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16.239,84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57,0</w:t>
            </w:r>
          </w:p>
        </w:tc>
      </w:tr>
    </w:tbl>
    <w:p>
      <w:pPr>
        <w:spacing w:before="0" w:after="0"/>
      </w:pPr>
    </w:p>
    <w:p>
      <w:pPr>
        <w:jc w:val="both"/>
        <w:pStyle w:val="Normal"/>
        <w:spacing w:line="240" w:lineRule="auto"/>
      </w:pPr>
      <w:r>
        <w:rPr>
          <w:sz w:val="24"/>
          <w:rFonts w:ascii="Times New Roman" w:hAnsi="Times New Roman"/>
        </w:rPr>
        <w:t>Javna vatrogasna postrojba Opatija proračunski je korisnik Grada Opatije i od 2016. godine posluje u sustavu Gradske riznice.  Uz Grad Opatiju (s učešćem od 57%), osnivači Javne vatrogasne postrojbe Opatija su i Općina Matulji (s učešćem od 23%), Općina Lovran (s učešćem od 14%), te Općina Mošćenička Draga (s učešćem od 6%), koje putem proračuna Grada financiraju djelatnost javne ustanove.  Međusobni odnosi o financiranju regulirani su ugovorima.
Djelatnost JVP Opatija podrazumijeva sudjelovanje u provedbi preventivnih mjera zaštite od požara i eksplozija, gašenje požara i spašavanje ljudi i imovine ugroženih požarom i eksplozijom, pružanje tehničke pomoći u nezgodama i opasnim situacijama, educiranje građanstva u provođenju preventive i osposobljavanje za zaštitu od požara, te obavljanje i drugih poslova u ekološkim i inim nesrećama. 
Postrojba broji 42 radnika raspoređena na 10 radnih mjesta sukladno Pravilniku o unutarnjem ustrojstvu i načinu rada u JVP Opatija, odnosno Pravilniku o klasifikaciji postrojbi i koeficijentima složenosti poslova te radnih mjesta i mjerila za utvrđivanje radnih mjesta vatrogasaca. 
Ukupni prihodi Javne vatrogasne postrojbe Opatija sastoje se od prihoda iz nadležnog proračuna Grada Opatije, od pomoći iz inozemstva i od subjekata unutar  općeg proračuna/pomoći proračunu iz drugih proračuna od JL(R)PS – Općine Matulji, Lovran i Mošćenička Draga (sadrže prihode ostvarene temeljem Odluke o minimalnim financijskim standardima za obavljanje djelatnosti Javnih vatrogasnih postrojbi u 2025. godini, Narodne novine br. 16/25), od prihoda od pruženih usluga nastalim pružanjem usluga protupožarnih osiguranja i usluga osnovom sklopljenih ugovora o pružanju automatske vatrodojave, te od prihoda od donacije Vatrogasne zajednice Primorsko-goranske županije. 
Ukupni prihodi ostvareni u promatranom razdoblju bilježe povećanje u odnosu na ostvarenje prethodne godine u skladu s Financijskim planom JVP Opatija za 2025. godinu. 
Ukupni rashodi poslovanja, u odnosu na prošlogodišnje promatrano razdoblje također bilježe rast, kao posljedica povećanja rasta rashoda za zaposlene +30,7% i materijalnih rashoda +5,8%.  
Slijedom navedenog, ostvaren je višak prihoda poslovanja, u nešto manjem iznosu nego u istom prošlogodišnjem razdoblju.
Nadalje, kao i prošle godine, ostvaren je manjak prihoda od nefinancijske imovine. 
Na kraju promatranog razdoblja ostvaren je višak prihoda i primitaka u iznosu od +9.263,15 eura.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825.508,42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1.049.871,20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pPr>
        <w:jc w:val="both"/>
        <w:pStyle w:val="Normal"/>
        <w:spacing w:line="240" w:lineRule="auto"/>
      </w:pPr>
      <w:r>
        <w:rPr>
          <w:sz w:val="24"/>
          <w:rFonts w:ascii="Times New Roman" w:hAnsi="Times New Roman"/>
        </w:rPr>
        <w:t>Ostvareni ukupni prihodi veći su u odnosu na izvještajno razdoblje prethodne godine što je u skladu s Financijskim planom JVP Opatija za 2025. godinu. Prihodi koje je Javna vatrogasna postrojba Opatija ostvarila u prvoj polovici 2025. godine prihodi su iz proračuna Grada Opatije, prihodi od JL(R)PS – Općine Matulji, Lovran i Mošćenička Draga, prihodi ostvareni temeljem Odluke o minimalnim financijskim standardima za obavljanje djelatnosti Javnih vatrogasnih postrojbi u 2025. godini, prihodi nastali pružanjem usluga protupožarnih osiguranja i usluga osnovom sklopljenih ugovora o pružanju automatske vatrodojave, te prihodi od donacije Vatrogasne zajednice Primorsko-goranske županije.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340.961,15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473.177,67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w:t>
            </w:r>
          </w:p>
        </w:tc>
      </w:tr>
    </w:tbl>
    <w:p>
      <w:pPr>
        <w:spacing w:before="0" w:after="0"/>
      </w:pPr>
    </w:p>
    <w:p>
      <w:pPr>
        <w:jc w:val="both"/>
        <w:pStyle w:val="Normal"/>
        <w:spacing w:line="240" w:lineRule="auto"/>
      </w:pPr>
      <w:r>
        <w:rPr>
          <w:sz w:val="24"/>
          <w:rFonts w:ascii="Times New Roman" w:hAnsi="Times New Roman"/>
        </w:rPr>
        <w:t>Ostvareni su prihodi u većem iznosu u odnosu na isto razdoblje prethodne godine za +132.216,52 eura. Razlog povećanja prihoda je veći financijski plan JVP Opatije za 2025. godinu (2.964.414,00 eura) u odnosu na financijski plan JVP Opatije za 2024. godinu (III. Izmjene financijskog plana 1.820.529,00 eura) za 62,7%.</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340.961,15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473.177,67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w:t>
            </w:r>
          </w:p>
        </w:tc>
      </w:tr>
    </w:tbl>
    <w:p>
      <w:pPr>
        <w:spacing w:before="0" w:after="0"/>
      </w:pPr>
    </w:p>
    <w:p>
      <w:pPr>
        <w:jc w:val="both"/>
        <w:pStyle w:val="Normal"/>
        <w:spacing w:line="240" w:lineRule="auto"/>
      </w:pPr>
      <w:r>
        <w:rPr>
          <w:sz w:val="24"/>
          <w:rFonts w:ascii="Times New Roman" w:hAnsi="Times New Roman"/>
        </w:rPr>
        <w:t>Prihodi se odnose na doznačena sredstva za redovnu djelatnost (471.657,98 eura) i kapitalna ulaganja (1.519,69 eura) iz proračuna jedinica lokalne samouprave (Općina Lovran, Općina Matulji i Općina M. Draga) s kojim Javna vatrogasna postrojba Opatija ima sklopljene Ugovore o sufinanciranju djelatnosti JVP Opatija na njihovom području. Navedene JLS su uz Grad Opatiju suosnivači JVP, a njihov udio u financiranju iznosi 43,0%.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336.776,79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471.657,98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w:t>
            </w:r>
          </w:p>
        </w:tc>
      </w:tr>
    </w:tbl>
    <w:p>
      <w:pPr>
        <w:spacing w:before="0" w:after="0"/>
      </w:pPr>
    </w:p>
    <w:p>
      <w:pPr>
        <w:jc w:val="both"/>
        <w:pStyle w:val="Normal"/>
        <w:spacing w:line="240" w:lineRule="auto"/>
      </w:pPr>
      <w:r>
        <w:rPr>
          <w:sz w:val="24"/>
          <w:rFonts w:ascii="Times New Roman" w:hAnsi="Times New Roman"/>
        </w:rPr>
        <w:t>Prihodi od tekućih pomoći proračunu i izvanproračunskim korisnicima iz drugih proračuna ostvareni su s povećanjem od +134.881,19 eura.  Sredstva iznad minimalnog standarda ostvarena su u iznosu 349.375,20 eura, a iz decentraliziranih funkcija 122.282,78 eura. Za financiranje djelatnosti vatrogastva do minimalnog standarda za decentralizirane funkcije osiguravaju se sredstva iz namjenske stope 1,0% iz dohotka, te iz sredstava poravnanja RH, a Uredbom i Odlukom Vlade Republike Hrvatske (NN 16/25) za 2025. godinu utvrđen je iznos od 628.143,00 eura, od čega se na Grad Opatiju odnosi 57% ili 358.041,00 eura, Općinu Matulji 23%, ili 144.473,00 eura, Općinu Lovran 14% ili 87.940,00 eura i Općinu M. Draga 6% ili 37.689,00 eura. Navedeni iznos veći je za +41.093,00 eura od iznosa iz Odluke za 2024. godinu i uvršten je u Prijedlog I. Izmjena financijskog plana JVP Opatija za 2025. godinu. 
U ostvarenim prihodima sadržane su i pomoći JLS za rashode nastale u 2024. godini, budući su izvršile nešto manje obveza u odnosu na utrošena sredstva, te su temeljem obračuna za 2024. godinu evidentirana potraživanja JVP Opatija od JLS za manje uplaćena sredstva iznad minimalnih standarda u ukupnom iznosu od 8.658,35 eura, koja su sredstva uplaćena tijekom mjeseca siječnja i veljače 2025. godine (Općina Matulji 2.758,70 eura, Općina Lovran 4.223,23 eura i Općina Mošćenička Draga 1.676,42 eura).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w:t>
            </w:r>
          </w:p>
        </w:tc>
      </w:tr>
    </w:tbl>
    <w:p>
      <w:pPr>
        <w:spacing w:before="0" w:after="0"/>
      </w:pPr>
    </w:p>
    <w:p>
      <w:pPr>
        <w:jc w:val="both"/>
        <w:pStyle w:val="Normal"/>
        <w:spacing w:line="240" w:lineRule="auto"/>
      </w:pPr>
      <w:r>
        <w:rPr>
          <w:sz w:val="24"/>
          <w:rFonts w:ascii="Times New Roman" w:hAnsi="Times New Roman"/>
        </w:rPr>
        <w:t>Kapitalne pomoći proračunu iz drugih proračuna ostvarene su u manjem iznosu za -2.664,67 eura. Razlog je što su ukupno ostvareni rashodi za nabavu nefinancijske imovine u iznosu od 13.426,85 eura, financirani najvećim dijelom iz vlastitih sredstava s iznosom od 9.862,50 eura ( 2.031,68 eura rashoda financirano je iz sredstava nadležnog proračuna). U promatranom razdoblju prošle godine, ukupno ostvareni rashodi financirani su isključivo iz sredstava proračuna (osnivača i suosnivača).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w:t>
            </w:r>
          </w:p>
        </w:tc>
      </w:tr>
    </w:tbl>
    <w:p>
      <w:pPr>
        <w:spacing w:before="0" w:after="0"/>
      </w:pPr>
    </w:p>
    <w:p>
      <w:pPr>
        <w:jc w:val="both"/>
        <w:pStyle w:val="Normal"/>
        <w:spacing w:line="240" w:lineRule="auto"/>
      </w:pPr>
      <w:r>
        <w:rPr>
          <w:sz w:val="24"/>
          <w:rFonts w:ascii="Times New Roman" w:hAnsi="Times New Roman"/>
        </w:rPr>
        <w:t>Prihodi od pruženih usluga i od donacija ostvareni su s povećanjem u odnosu na isto izvještajno razdoblje prošle godine za +5.312,72 eura. Prihodi su ostvareni većim dijelom od vatrogasnog osiguranja manifestacija, tehničkih intervencija, te pružanja usluga vatrodojave osnovom sklopljenih ugovora (89,5%), a manjim dijelom od ostvarene tekuće donacije od strane Vatrogasne zajednice Primorsko-goranske županije (10,5%).</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pPr>
        <w:jc w:val="both"/>
        <w:pStyle w:val="Normal"/>
        <w:spacing w:line="240" w:lineRule="auto"/>
      </w:pPr>
      <w:r>
        <w:rPr>
          <w:sz w:val="24"/>
          <w:rFonts w:ascii="Times New Roman" w:hAnsi="Times New Roman"/>
        </w:rPr>
        <w:t>Prihodi od pruženih usluga ostvareni su u većem iznosu u odnosu na isto izvještajno razdoblje prošle godine za +4.212,72 eura. Prihodi su ostvareni od vatrogasnog osiguranja manifestacija u iznosu od 6.570,11 eura (Dora 2025, snimanje britanske serije ITV), dvije tehničke intervencije (690,69 eura), a dijelom osnovom sklopljenih ugovora o vatrodojavi 4.731,53 eura (12 ugovora).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od tekućih donacija ostvareni su iznosom od 1.400,00 eura osnovom Odluke Vatrogasne zajednice Primorsko-goranske županije o isplati novčanih sredstava za potporu obilježavanja 80.- te obljetnice osnutka i djelovanja JVP Opatija. U promatranom razdoblju 2024. godine ove vrste prihoda nije bilo.</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476.767,66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563.301,20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pPr>
        <w:jc w:val="both"/>
        <w:pStyle w:val="Normal"/>
        <w:spacing w:line="240" w:lineRule="auto"/>
      </w:pPr>
      <w:r>
        <w:rPr>
          <w:sz w:val="24"/>
          <w:rFonts w:ascii="Times New Roman" w:hAnsi="Times New Roman"/>
        </w:rPr>
        <w:t>Prihodi iz nadležnog proračuna Grada Opatije veći su od ostvarenja prethodne godine za + 86.533,54 eura sve sukladno Financijskom planu za 2025. godinu. Dio prihoda u iznosu od 561.269,52 eura ili 99,6% odnosi se na redovnu djelatnost, a 2.031,68 eura ili 0,4% odnosi se na ostvarene prihode za financiranje rashoda za nabavu nefinancijske imovine.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471.220,94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561.269,52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pPr>
        <w:jc w:val="both"/>
        <w:pStyle w:val="Normal"/>
        <w:spacing w:line="240" w:lineRule="auto"/>
      </w:pPr>
      <w:r>
        <w:rPr>
          <w:sz w:val="24"/>
          <w:rFonts w:ascii="Times New Roman" w:hAnsi="Times New Roman"/>
        </w:rPr>
        <w:t>Prihodi se odnose na doznačena sredstva iz Proračuna Grada Opatije za redovnu djelatnost i u odnosu na prethodnu godinu veći su za +90.048,58 eura, u skladu s Financijskim planom JVP Opatija.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w:t>
            </w:r>
          </w:p>
        </w:tc>
      </w:tr>
    </w:tbl>
    <w:p>
      <w:pPr>
        <w:spacing w:before="0" w:after="0"/>
      </w:pPr>
    </w:p>
    <w:p>
      <w:pPr>
        <w:jc w:val="both"/>
        <w:pStyle w:val="Normal"/>
        <w:spacing w:line="240" w:lineRule="auto"/>
      </w:pPr>
      <w:r>
        <w:rPr>
          <w:sz w:val="24"/>
          <w:rFonts w:ascii="Times New Roman" w:hAnsi="Times New Roman"/>
        </w:rPr>
        <w:t>Pad ove vrste prihoda zabilježen je iz razloga financiranja rashoda za nabavu nefinancijske imovine najvećim dijelom iz vlastitih prihoda ostvarenih pružanjem usluga (9.862,50 eura), koji u istom razdoblju prošle godine nisu bili korišteni.</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1.027.181,20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w:t>
            </w:r>
          </w:p>
        </w:tc>
      </w:tr>
    </w:tbl>
    <w:p>
      <w:pPr>
        <w:spacing w:before="0" w:after="0"/>
      </w:pPr>
    </w:p>
    <w:p>
      <w:pPr>
        <w:jc w:val="both"/>
        <w:pStyle w:val="Normal"/>
        <w:spacing w:line="240" w:lineRule="auto"/>
      </w:pPr>
      <w:r>
        <w:rPr>
          <w:sz w:val="24"/>
          <w:rFonts w:ascii="Times New Roman" w:hAnsi="Times New Roman"/>
        </w:rPr>
        <w:t>Rashodi poslovanja bilježe rast u odnosu na isto razdoblje prošle godine za +227.643,70 eura, a sastoje se od Rashoda za zaposlene s učešćem od 92,7% ili u apsolutnom iznosu 951.749,69 eura, odnosno od Materijalnih rashoda s učešćem od 7,3% ili 75.431,51 euro. Rashodi poslovanja rastu sukladno planskim veličinama iz Financijskog plana za 2025. godinu.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728.218,33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951.749,69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w:t>
            </w:r>
          </w:p>
        </w:tc>
      </w:tr>
    </w:tbl>
    <w:p>
      <w:pPr>
        <w:spacing w:before="0" w:after="0"/>
      </w:pPr>
    </w:p>
    <w:p>
      <w:pPr>
        <w:jc w:val="both"/>
        <w:pStyle w:val="Normal"/>
        <w:spacing w:line="240" w:lineRule="auto"/>
      </w:pPr>
      <w:r>
        <w:rPr>
          <w:sz w:val="24"/>
          <w:rFonts w:ascii="Times New Roman" w:hAnsi="Times New Roman"/>
        </w:rPr>
        <w:t>Rashodi za zaposlene veći su u odnosu na ostvarene rashode iz prethodne godine za +223.531,36 eura. 
Povećanje rashoda posljedica je rasta rashoda za plaće s pripadajućim doprinosima (+26,8%), kao i povećanja ostalih rashoda za zaposlene (+62,4%).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529.652,16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671.170,42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pPr>
        <w:jc w:val="both"/>
        <w:pStyle w:val="Normal"/>
        <w:spacing w:line="240" w:lineRule="auto"/>
      </w:pPr>
      <w:r>
        <w:rPr>
          <w:sz w:val="24"/>
          <w:rFonts w:ascii="Times New Roman" w:hAnsi="Times New Roman"/>
        </w:rPr>
        <w:t>Rashodi za plaće u odnosu za ostvarenje iz istog razdoblja prošle godine rastu za +141.518,26 eura, a posljedica su početka primjene Novog Pravilnika o klasifikaciji postrojbi i koeficijentima složenosti poslova te radnih mjesta i mjerila za utvrđivanje radnih mjesta vatrogasaca (Narodne novine broj 85/2024) u primjeni od 19. srpnja 2024. godine i Uredbe o visini dodatka na osnovni koeficijent za radna mjesta profesionalnih vatrogasaca (Narodne novine broj 92/2024) u primjeni od 09. kolovoza 2024. godine, odnosno usvajanja Izmjena i dopuna Pravilnika o unutarnjem ustrojstvu i načina rada u Javnoj vatrogasnoj postrojbi Opatija, kao i potpisivanja Aneksa broj II Kolektivnom ugovoru za radnike u Javnoj vatrogasnog postrojbi Opatija dana 13. prosinca 2024. godine. Predmetnim Aneksom Kolektivnom ugovoru definiran je novi način obračuna plaće radnika, nova osnovica za izračun plaće, kao i koeficijenti složenosti poslova radnih mjesta prema novom Pravilniku o unutarnjem ustrojstvu i načinu rada JVP Opatija, s pripadajućim dodacima.
Sve naznačene promjene u primjeni su od obračuna plaće za siječanj 2025. godine.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81.571,24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132.485,92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w:t>
            </w:r>
          </w:p>
        </w:tc>
      </w:tr>
    </w:tbl>
    <w:p>
      <w:pPr>
        <w:spacing w:before="0" w:after="0"/>
      </w:pPr>
    </w:p>
    <w:p>
      <w:pPr>
        <w:jc w:val="both"/>
        <w:pStyle w:val="Normal"/>
        <w:spacing w:line="240" w:lineRule="auto"/>
      </w:pPr>
      <w:r>
        <w:rPr>
          <w:sz w:val="24"/>
          <w:rFonts w:ascii="Times New Roman" w:hAnsi="Times New Roman"/>
        </w:rPr>
        <w:t>Ostali rashodi za zaposlene bilježe rast za +60.914,68 eura, kao posljedica isplaćene tri otpremnine u bruto iznosu 72.633,42 eura, dok je u istom razdoblju 2024. godine isplaćena jedna otpremnina u bruto iznosu od 22.059,38 eura. 
Nadalje, isplaćene su četiri jubilarne nagrade ukupnog iznosa 10.597,25 eura: tri nagrade za 15 godina rada u JVP (6.992,04 eura), i jedna jubilarna za 20 godina rada u JVP (3.605,24 eura), dok je u istom razdoblju prošle godine isplaćeno pet jubilarnih nagrada (dvije za 20, dvije za 30 i jedna za 35 godina rada u JVP) ukupnog iznosa 24.116,73 eura.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116.994,93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148.093,35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bl>
    <w:p>
      <w:pPr>
        <w:spacing w:before="0" w:after="0"/>
      </w:pPr>
    </w:p>
    <w:p>
      <w:pPr>
        <w:jc w:val="both"/>
        <w:pStyle w:val="Normal"/>
        <w:spacing w:line="240" w:lineRule="auto"/>
      </w:pPr>
      <w:r>
        <w:rPr>
          <w:sz w:val="24"/>
          <w:rFonts w:ascii="Times New Roman" w:hAnsi="Times New Roman"/>
        </w:rPr>
        <w:t>Kao posljedica rasta plaća, rast ostvarenja bilježe i Doprinosi na plaće i to za +31.098,42 eura.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71.319,17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75.431,51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bl>
    <w:p>
      <w:pPr>
        <w:spacing w:before="0" w:after="0"/>
      </w:pPr>
    </w:p>
    <w:p>
      <w:pPr>
        <w:jc w:val="both"/>
        <w:pStyle w:val="Normal"/>
        <w:spacing w:line="240" w:lineRule="auto"/>
      </w:pPr>
      <w:r>
        <w:rPr>
          <w:sz w:val="24"/>
          <w:rFonts w:ascii="Times New Roman" w:hAnsi="Times New Roman"/>
        </w:rPr>
        <w:t>Materijalni rashodi bilježe blagi rast u odnosu na izvršenje prethodne godine za +4.112,34 eura. Sve podskupine materijalnih rashoda rastu, osim rashoda za usluge, koje su u odnosu na ostvarenje u istom razdoblju prošle godine manje za -7,2%. U strukturi materijalnih rashoda vrijednosno najznačajniji su: naknade za prijevoz (šifra 3212/13.227,42 eura), usluge tekućeg i investicijskog održavanja (šifra 3232/11.076,83 eura) i energija (šifra 3223/9.944,62 eura), te zajedno učestvuju u ukupnim materijalnim rashodima s 45,4%.</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pPr>
        <w:jc w:val="both"/>
        <w:pStyle w:val="Normal"/>
        <w:spacing w:line="240" w:lineRule="auto"/>
      </w:pPr>
      <w:r>
        <w:rPr>
          <w:sz w:val="24"/>
          <w:rFonts w:ascii="Times New Roman" w:hAnsi="Times New Roman"/>
        </w:rPr>
        <w:t>Naknade troškova zaposlenima bilježe povećanje za +2.186,89 eura u odnosu na isto promatrano razdoblje prošle godine. </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w:t>
            </w:r>
          </w:p>
        </w:tc>
      </w:tr>
    </w:tbl>
    <w:p>
      <w:pPr>
        <w:spacing w:before="0" w:after="0"/>
      </w:pPr>
    </w:p>
    <w:p>
      <w:pPr>
        <w:jc w:val="both"/>
        <w:pStyle w:val="Normal"/>
        <w:spacing w:line="240" w:lineRule="auto"/>
      </w:pPr>
      <w:r>
        <w:rPr>
          <w:sz w:val="24"/>
          <w:rFonts w:ascii="Times New Roman" w:hAnsi="Times New Roman"/>
        </w:rPr>
        <w:t>Službena putovanja bilježe rast od +1.069,12 eura. U promatranom razdoblju izdano je gotovo dvostruko manje putnih naloga (27) nego u prvih šest mjeseci 2024. godine (47), ali se od ukupno obračunatih putnih naloga dva putna naloga odnose na višednevno putovanje u inozemstvo te nose najveći dio nastalog troška.</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bl>
    <w:p>
      <w:pPr>
        <w:spacing w:before="0" w:after="0"/>
      </w:pPr>
    </w:p>
    <w:p>
      <w:pPr>
        <w:jc w:val="both"/>
        <w:pStyle w:val="Normal"/>
        <w:spacing w:line="240" w:lineRule="auto"/>
      </w:pPr>
      <w:r>
        <w:rPr>
          <w:sz w:val="24"/>
          <w:rFonts w:ascii="Times New Roman" w:hAnsi="Times New Roman"/>
        </w:rPr>
        <w:t>Naknade za prijevoz bilježe blago povećanje od +532,35 eura, kao posljedica povećanja cijene mjesečnih prijevoznih karti.</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pPr>
        <w:jc w:val="both"/>
        <w:pStyle w:val="Normal"/>
        <w:spacing w:line="240" w:lineRule="auto"/>
      </w:pPr>
      <w:r>
        <w:rPr>
          <w:sz w:val="24"/>
          <w:rFonts w:ascii="Times New Roman" w:hAnsi="Times New Roman"/>
        </w:rPr>
        <w:t>Troškovi stručnog usavršavanja zaposlenika veći su u odnosu na isto razdoblje prethodne godine za +585,42 eura. Ovi troškovi sadrže, osim školarine za dvoje studenata i trošak osposobljavanja jednog vatrogasca za C kategoriju u Srednjoj školi Buzet (660,00 eura), trošak kotizacije za seminar Tromjesečni FI, primjena novog Pravilnika (190,00 eura, jedna osoba) i trošak kotizacije za Stručni skup vatrogasaca Opatija, ukupno sedam polaznika (600,00 eura). </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24.622,40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pPr>
        <w:jc w:val="both"/>
        <w:pStyle w:val="Normal"/>
        <w:spacing w:line="240" w:lineRule="auto"/>
      </w:pPr>
      <w:r>
        <w:rPr>
          <w:sz w:val="24"/>
          <w:rFonts w:ascii="Times New Roman" w:hAnsi="Times New Roman"/>
        </w:rPr>
        <w:t>Rashodi za materijal i energiju bilježe blagi rast i veći su za +1.219,76 eura. </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w:t>
            </w:r>
          </w:p>
        </w:tc>
      </w:tr>
    </w:tbl>
    <w:p>
      <w:pPr>
        <w:spacing w:before="0" w:after="0"/>
      </w:pPr>
    </w:p>
    <w:p>
      <w:pPr>
        <w:jc w:val="both"/>
        <w:pStyle w:val="Normal"/>
        <w:spacing w:line="240" w:lineRule="auto"/>
      </w:pPr>
      <w:r>
        <w:rPr>
          <w:sz w:val="24"/>
          <w:rFonts w:ascii="Times New Roman" w:hAnsi="Times New Roman"/>
        </w:rPr>
        <w:t>Uredski materijal bilježi smanjenje ostvarenja od -47,7% u odnosu na izvršenje prošle godine. Razlog smanjenja je izostanak nabave tonera za glavni pisač, budući je sklopljen ugovor o najmu fotokopirnog aparata, koji pokriva i troškove zamjene tonera, koji su bili značajna stavka u rashodima uredskog materijala 2024. godine.
</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pPr>
        <w:jc w:val="both"/>
        <w:pStyle w:val="Normal"/>
        <w:spacing w:line="240" w:lineRule="auto"/>
      </w:pPr>
      <w:r>
        <w:rPr>
          <w:sz w:val="24"/>
          <w:rFonts w:ascii="Times New Roman" w:hAnsi="Times New Roman"/>
        </w:rPr>
        <w:t>Rashodi za energiju ostvaruju blagi rast budući je izvršena nabava lož ulja, koje nije bilo u ostvarenju u promatranom razdoblju 2024. godine.</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2346,0</w:t>
            </w:r>
          </w:p>
        </w:tc>
      </w:tr>
    </w:tbl>
    <w:p>
      <w:pPr>
        <w:spacing w:before="0" w:after="0"/>
      </w:pPr>
    </w:p>
    <w:p>
      <w:pPr>
        <w:jc w:val="both"/>
        <w:pStyle w:val="Normal"/>
        <w:spacing w:line="240" w:lineRule="auto"/>
      </w:pPr>
      <w:r>
        <w:rPr>
          <w:sz w:val="24"/>
          <w:rFonts w:ascii="Times New Roman" w:hAnsi="Times New Roman"/>
        </w:rPr>
        <w:t>Materijal i dijelovi za tekuće i investicijsko održavanje bilježe najveći postotak rasta za +2.246% što je u apsolutnom iznosu povećanje od +4.191,49 eura, a odnosi se na nabavu materijala korištenog za uređenje/adaptaciju prostora garderobe na katu postrojbe. Radovi se vrše u vlastitom aranžmanu, kako bi se izbjegli dodatni troškovi usluga vanjskih izvođača radova.</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w:t>
            </w:r>
          </w:p>
        </w:tc>
      </w:tr>
    </w:tbl>
    <w:p>
      <w:pPr>
        <w:spacing w:before="0" w:after="0"/>
      </w:pPr>
    </w:p>
    <w:p>
      <w:pPr>
        <w:jc w:val="both"/>
        <w:pStyle w:val="Normal"/>
        <w:spacing w:line="240" w:lineRule="auto"/>
      </w:pPr>
      <w:r>
        <w:rPr>
          <w:sz w:val="24"/>
          <w:rFonts w:ascii="Times New Roman" w:hAnsi="Times New Roman"/>
        </w:rPr>
        <w:t>Manje ostvarenje rashoda Sitnog inventara i auto  guma za -66,8% ili u apsolutnom iznosu za -2.544,09 eura proizlazi iz toga što je prošle godine u istom razdoblju nabavljeno auto guma za tri vatrogasna vozila, ukupne vrijednosti 2.050,00 eura (četiri gume za dva vozila i dvije gume za autocisternu).</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pPr>
        <w:jc w:val="both"/>
        <w:pStyle w:val="Normal"/>
        <w:spacing w:line="240" w:lineRule="auto"/>
      </w:pPr>
      <w:r>
        <w:rPr>
          <w:sz w:val="24"/>
          <w:rFonts w:ascii="Times New Roman" w:hAnsi="Times New Roman"/>
        </w:rPr>
        <w:t>Rashodi za nabavu službene, radne i zaštitne odjeće i obuće bilježe blago povećanje u odnosu na ostvarenje prošle godine za +691,22 eura, a rezultat je dinamike provođenja nabave.</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25.489,01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w:t>
            </w:r>
          </w:p>
        </w:tc>
      </w:tr>
    </w:tbl>
    <w:p>
      <w:pPr>
        <w:spacing w:before="0" w:after="0"/>
      </w:pPr>
    </w:p>
    <w:p>
      <w:pPr>
        <w:jc w:val="both"/>
        <w:pStyle w:val="Normal"/>
        <w:spacing w:line="240" w:lineRule="auto"/>
      </w:pPr>
      <w:r>
        <w:rPr>
          <w:sz w:val="24"/>
          <w:rFonts w:ascii="Times New Roman" w:hAnsi="Times New Roman"/>
        </w:rPr>
        <w:t>Rashodi za usluge manji su u odnosu na ostvarenje iz prošle godine za -7,2% ili za -1.830,51 euro. Sve stavke rashoda za usluge ostvarene su u manjem iznosu od prošlogodišnjih, osim rashoda za zakupnine i najamnine čije je ostvarenje veće za +9,6% ili za +245,00 eura. </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w:t>
            </w:r>
          </w:p>
        </w:tc>
      </w:tr>
    </w:tbl>
    <w:p>
      <w:pPr>
        <w:spacing w:before="0" w:after="0"/>
      </w:pPr>
    </w:p>
    <w:p>
      <w:pPr>
        <w:jc w:val="both"/>
        <w:pStyle w:val="Normal"/>
        <w:spacing w:line="240" w:lineRule="auto"/>
      </w:pPr>
      <w:r>
        <w:rPr>
          <w:sz w:val="24"/>
          <w:rFonts w:ascii="Times New Roman" w:hAnsi="Times New Roman"/>
        </w:rPr>
        <w:t>Ova vrsta rashoda bilježi pad od -6,20 eura što je u apsolutnom iznosu smanjenje od -222,62 eura, koliko iznosi i trošak prijevoza dva vozila u kvaru na popravak u ovlašteni servis, koji je teretio rashode u promatranom razdoblju prethodne godine.</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90,6</w:t>
            </w:r>
          </w:p>
        </w:tc>
      </w:tr>
    </w:tbl>
    <w:p>
      <w:pPr>
        <w:spacing w:before="0" w:after="0"/>
      </w:pPr>
    </w:p>
    <w:p>
      <w:pPr>
        <w:jc w:val="both"/>
        <w:pStyle w:val="Normal"/>
        <w:spacing w:line="240" w:lineRule="auto"/>
      </w:pPr>
      <w:r>
        <w:rPr>
          <w:sz w:val="24"/>
          <w:rFonts w:ascii="Times New Roman" w:hAnsi="Times New Roman"/>
        </w:rPr>
        <w:t>Bilježe smanjenje od -9,4% ili -1.144,79 eura u odnosu na isto razdoblje prošle godine. Ovi troškovi kreću se zavisno od dinamike nastalih potreba za popravcima opreme ili vozila. U promatranom razdoblju prethodne godine zabilježen je jedan veći popravak kompresora kojeg u ovoj godini nije bilo.</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bl>
    <w:p>
      <w:pPr>
        <w:spacing w:before="0" w:after="0"/>
      </w:pPr>
    </w:p>
    <w:p>
      <w:pPr>
        <w:jc w:val="both"/>
        <w:pStyle w:val="Normal"/>
        <w:spacing w:line="240" w:lineRule="auto"/>
      </w:pPr>
      <w:r>
        <w:rPr>
          <w:sz w:val="24"/>
          <w:rFonts w:ascii="Times New Roman" w:hAnsi="Times New Roman"/>
        </w:rPr>
        <w:t>Bilježe smanjenje od -9,5%, odnosno od -151,69 eura, budući u ovoj godini nije provedena deratizacija prostora JVP u prizemlju zgrade.</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pPr>
        <w:jc w:val="both"/>
        <w:pStyle w:val="Normal"/>
        <w:spacing w:line="240" w:lineRule="auto"/>
      </w:pPr>
      <w:r>
        <w:rPr>
          <w:sz w:val="24"/>
          <w:rFonts w:ascii="Times New Roman" w:hAnsi="Times New Roman"/>
        </w:rPr>
        <w:t>Zakupnine i najamnine bilježe rast o +245,00 eura, koji je posljedica nastanka troška najma višenamjenskog A3 uređaja za rad u boji (fotokopiranje, skeniranje) uslijed sklapanja sporazuma 01.03.2025. godine s rokom trajanja 24 mjeseca. </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w:t>
            </w:r>
          </w:p>
        </w:tc>
      </w:tr>
    </w:tbl>
    <w:p>
      <w:pPr>
        <w:spacing w:before="0" w:after="0"/>
      </w:pPr>
    </w:p>
    <w:p>
      <w:pPr>
        <w:jc w:val="both"/>
        <w:pStyle w:val="Normal"/>
        <w:spacing w:line="240" w:lineRule="auto"/>
      </w:pPr>
      <w:r>
        <w:rPr>
          <w:sz w:val="24"/>
          <w:rFonts w:ascii="Times New Roman" w:hAnsi="Times New Roman"/>
        </w:rPr>
        <w:t>Ostvarene su u manjem iznosu od ostvarenja prošle godine za -189,97 eura ili za -80,3%, budući su u promatranom razdoblju prošle godine provedeni obvezni zdravstveni pregledi vatrogasaca-vozača u svrhu produženja vozačke dozvole C kategorije, koja se obnavlja svakih pet godina.</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w:t>
            </w:r>
          </w:p>
        </w:tc>
      </w:tr>
    </w:tbl>
    <w:p>
      <w:pPr>
        <w:spacing w:before="0" w:after="0"/>
      </w:pPr>
    </w:p>
    <w:p>
      <w:pPr>
        <w:jc w:val="both"/>
        <w:pStyle w:val="Normal"/>
        <w:spacing w:line="240" w:lineRule="auto"/>
      </w:pPr>
      <w:r>
        <w:rPr>
          <w:sz w:val="24"/>
          <w:rFonts w:ascii="Times New Roman" w:hAnsi="Times New Roman"/>
        </w:rPr>
        <w:t>Intelektualne i osobne usluge ostvarene su na približno istom nivou kao i prošle godine. Umanjenje od -3,8% rezultat je smanjenja mjesečne obveze osnovom Ugovora o obavljanju poslova zaštite na radu, budući pružatelj usluge više nije u sustavu PDV-a. </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w:t>
            </w:r>
          </w:p>
        </w:tc>
      </w:tr>
    </w:tbl>
    <w:p>
      <w:pPr>
        <w:spacing w:before="0" w:after="0"/>
      </w:pPr>
    </w:p>
    <w:p>
      <w:pPr>
        <w:jc w:val="both"/>
        <w:pStyle w:val="Normal"/>
        <w:spacing w:line="240" w:lineRule="auto"/>
      </w:pPr>
      <w:r>
        <w:rPr>
          <w:sz w:val="24"/>
          <w:rFonts w:ascii="Times New Roman" w:hAnsi="Times New Roman"/>
        </w:rPr>
        <w:t>Ostale usluge izvršene su manjem iznosu za -219,45 eura iz razloga početka evidentiranja rashoda mjesečne RTV pristojbe na osnovnom računu 32959 Ostale pristojbe i naknade, sukladno Okružnici Ministarstva financija RH o sastavljanju i predaji financijskih izvještaja proračuna, proračunskih i izvanproračunskih korisnika državnog proračuna, odnosno proračuna JL(R)S.</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pPr>
        <w:jc w:val="both"/>
        <w:pStyle w:val="Normal"/>
        <w:spacing w:line="240" w:lineRule="auto"/>
      </w:pPr>
      <w:r>
        <w:rPr>
          <w:sz w:val="24"/>
          <w:rFonts w:ascii="Times New Roman" w:hAnsi="Times New Roman"/>
        </w:rPr>
        <w:t>Ostali nespomenuti rashodi poslovanja bilježe rast u odnosu na isto razdoblje prethodne godine u apsolutnom iznosu od +2.536,20 eura. Porast bilježe sve šifre unutar ovog računa iz računskog plana.</w:t>
      </w:r>
    </w:p>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w:t>
            </w:r>
          </w:p>
        </w:tc>
      </w:tr>
    </w:tbl>
    <w:p>
      <w:pPr>
        <w:spacing w:before="0" w:after="0"/>
      </w:pPr>
    </w:p>
    <w:p>
      <w:pPr>
        <w:jc w:val="both"/>
        <w:pStyle w:val="Normal"/>
        <w:spacing w:line="240" w:lineRule="auto"/>
      </w:pPr>
      <w:r>
        <w:rPr>
          <w:sz w:val="24"/>
          <w:rFonts w:ascii="Times New Roman" w:hAnsi="Times New Roman"/>
        </w:rPr>
        <w:t>Premije osiguranja rastu za +1.591,74 eura, najvećim dijelom zbog rasta premije osiguranja od odgovornosti uslijed proširenja pokrića na osiguranje naknade troškova liječenja po regresnim zahtjevima HZZO-a, odnosno invalidskim mirovinama HZZM-a, te povećanja vrijednosti osnovica za obračun predmetne premije osiguranja, a to su ukupan prihod i ukupne neto plaće. Manji dio povećanog rashoda rezultat je nešto većih premija obveznog osiguranja od automobilske odgovornosti (povećanje od 3,7%).</w:t>
      </w:r>
    </w:p>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3347,2</w:t>
            </w:r>
          </w:p>
        </w:tc>
      </w:tr>
    </w:tbl>
    <w:p>
      <w:pPr>
        <w:spacing w:before="0" w:after="0"/>
      </w:pPr>
    </w:p>
    <w:p>
      <w:pPr>
        <w:jc w:val="both"/>
        <w:pStyle w:val="Normal"/>
        <w:spacing w:line="240" w:lineRule="auto"/>
      </w:pPr>
      <w:r>
        <w:rPr>
          <w:sz w:val="24"/>
          <w:rFonts w:ascii="Times New Roman" w:hAnsi="Times New Roman"/>
        </w:rPr>
        <w:t>Troškovi reprezentacije rastu po stopi od +3.247,2%, što u apsolutnom iznosu čini povećanje od samo +574,75 eura, a rezultat je ugošćenja djece vrtićke i školske dobi na Danima otvorenih vrata u JVP Opatija, povodom obilježavanja 80.-te godišnjice osnutka postrojbe.</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Rashodi na osnovnom računu 32959 Ostale pristojbe i naknade prvi put se bilježe u ovoj godini i iznose 191,16 eura, a odnose se na RTV pristojbu. </w:t>
      </w:r>
    </w:p>
    <w:p/>
    <w:p>
      <w:pPr>
        <w:jc w:val="center"/>
        <w:pStyle w:val="Normal"/>
        <w:spacing w:line="240" w:lineRule="auto"/>
        <w:keepNext/>
      </w:pPr>
      <w:r>
        <w:rPr>
          <w:sz w:val="28"/>
          <w:rFonts w:ascii="Times New Roman" w:hAnsi="Times New Roman"/>
        </w:rPr>
        <w:t>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189,6</w:t>
            </w:r>
          </w:p>
        </w:tc>
      </w:tr>
    </w:tbl>
    <w:p>
      <w:pPr>
        <w:spacing w:before="0" w:after="0"/>
      </w:pPr>
    </w:p>
    <w:p>
      <w:pPr>
        <w:jc w:val="both"/>
        <w:pStyle w:val="Normal"/>
        <w:spacing w:line="240" w:lineRule="auto"/>
      </w:pPr>
      <w:r>
        <w:rPr>
          <w:sz w:val="24"/>
          <w:rFonts w:ascii="Times New Roman" w:hAnsi="Times New Roman"/>
        </w:rPr>
        <w:t>Ostali nespomenuti rashodi poslovanja bilježe rast +178,55 eura, uslijed obnove ugovora za uslugu korištenja DATA SIM kartica i prijenosa podataka putem istih, s uvećanom cijenom usluge u 2025. godini, kao i uslijed knjiženja troška izrade cvjetnog aranžmana povodom svečane sjednice 80.-te godišnjice osnutka JVP Opatija. 
</w:t>
      </w:r>
    </w:p>
    <w:p/>
    <w:p>
      <w:pPr>
        <w:jc w:val="center"/>
        <w:pStyle w:val="Normal"/>
        <w:spacing w:line="240" w:lineRule="auto"/>
        <w:keepNext/>
      </w:pPr>
      <w:r>
        <w:rPr>
          <w:sz w:val="28"/>
          <w:rFonts w:ascii="Times New Roman" w:hAnsi="Times New Roman"/>
        </w:rPr>
        <w:t>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1.027.181,20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w:t>
            </w:r>
          </w:p>
        </w:tc>
      </w:tr>
    </w:tbl>
    <w:p>
      <w:pPr>
        <w:spacing w:before="0" w:after="0"/>
      </w:pPr>
    </w:p>
    <w:p>
      <w:pPr>
        <w:jc w:val="both"/>
        <w:pStyle w:val="Normal"/>
        <w:spacing w:line="240" w:lineRule="auto"/>
      </w:pPr>
      <w:r>
        <w:rPr>
          <w:sz w:val="24"/>
          <w:rFonts w:ascii="Times New Roman" w:hAnsi="Times New Roman"/>
        </w:rPr>
        <w:t>Ukupni rashodi poslovanja rastu za +227.643,70 eura, pri čemu Rashodi za zaposlene koji čine 92,7% ukupnih rashoda bilježe rast od 30,7%, a Materijalni rashodi koji čine 7,3% ukupnih rashoda rastu po stopi od 5,8%, sve sukladno planskim veličinama iz Financijskog plana JVP Opatija za 2025. godinu.
</w:t>
      </w:r>
    </w:p>
    <w:p/>
    <w:p>
      <w:pPr>
        <w:jc w:val="center"/>
        <w:pStyle w:val="Normal"/>
        <w:spacing w:line="240" w:lineRule="auto"/>
        <w:keepNext/>
      </w:pPr>
      <w:r>
        <w:rPr>
          <w:sz w:val="28"/>
          <w:rFonts w:ascii="Times New Roman" w:hAnsi="Times New Roman"/>
        </w:rPr>
        <w:t>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25.970,92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w:t>
            </w:r>
          </w:p>
        </w:tc>
      </w:tr>
    </w:tbl>
    <w:p>
      <w:pPr>
        <w:spacing w:before="0" w:after="0"/>
      </w:pPr>
    </w:p>
    <w:p>
      <w:pPr>
        <w:jc w:val="both"/>
        <w:pStyle w:val="Normal"/>
        <w:spacing w:line="240" w:lineRule="auto"/>
      </w:pPr>
      <w:r>
        <w:rPr>
          <w:sz w:val="24"/>
          <w:rFonts w:ascii="Times New Roman" w:hAnsi="Times New Roman"/>
        </w:rPr>
        <w:t>Ostvareni višak prihoda poslovanja nešto je manji u odnosu na isto razdoblje prošle godine, kao rezultat dinamike kretanja prihoda i rashoda.</w:t>
      </w:r>
    </w:p>
    <w:p/>
    <w:p>
      <w:pPr>
        <w:jc w:val="center"/>
        <w:pStyle w:val="Normal"/>
        <w:spacing w:line="240" w:lineRule="auto"/>
        <w:keepNext/>
      </w:pPr>
      <w:r>
        <w:rPr>
          <w:sz w:val="28"/>
          <w:rFonts w:ascii="Times New Roman" w:hAnsi="Times New Roman"/>
        </w:rPr>
        <w:t>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1813,1</w:t>
            </w:r>
          </w:p>
        </w:tc>
      </w:tr>
    </w:tbl>
    <w:p>
      <w:pPr>
        <w:spacing w:before="0" w:after="0"/>
      </w:pPr>
    </w:p>
    <w:p>
      <w:pPr>
        <w:jc w:val="both"/>
        <w:pStyle w:val="Normal"/>
        <w:spacing w:line="240" w:lineRule="auto"/>
      </w:pPr>
      <w:r>
        <w:rPr>
          <w:sz w:val="24"/>
          <w:rFonts w:ascii="Times New Roman" w:hAnsi="Times New Roman"/>
        </w:rPr>
        <w:t>Preneseni manjak iz prethodne godine iznosi -76.765,62 eura i veći je u odnosu na preneseni manjak u 2024. godini (-4.233,99 eura) za +72.531,63 eura, a čine ga obračun plaće s pripadajućim davanjima za mjesec prosinac i računi iz prosinca 2024. godine za koje su sredstva proračuna doznačena u siječnju 2025. godine, odnosno radi se o tehničkom manjku koji se pokriva iz prihoda nadležnog proračuna za financiranje rashoda poslovanja u iznosu od 68.107,27 eura i iz manje izvršenih prihoda iz tekućih pomoći proračunu od strane JLS u iznosu od 8.658,35 eura, a što je utvrđeno konačnim obračunom za 2024. godinu. Ovakvo povećanje tehničkog manjka rezultat je ukidanja podskupine 193 Kontinuirani rashodi budućih razdoblja, te prenošenje na odgovarajuće račune razreda 3 Rashodi poslovanja – trošak isplaćene plaće s pripadajućim davanjima za prosinac 2024. godine, isplaćene u siječnju 2025. godine koji trošak je teretio proračun za 2024. godinu u vidu trinaestog rashoda. U prethodnim obračunima, rashodi za plaću za mjesec prosinac iskazivali su se kao aktivno vremensko razgraničenje 19311 - Kontinuirani rashodi budućih razdoblja i pripadajuća obveza na podskupini 231 obveze za zaposlene, tako da se preneseni manjak u 2024. godini u iznosu od -4.233,99 eura sastojao samo od računa za mjesec prosinac 2023. godine za koje račune su sredstva proračuna doznačena u siječnju 2024. godine.</w:t>
      </w:r>
    </w:p>
    <w:p/>
    <w:p>
      <w:pPr>
        <w:jc w:val="center"/>
        <w:pStyle w:val="Normal"/>
        <w:spacing w:line="240" w:lineRule="auto"/>
        <w:keepNext/>
      </w:pPr>
      <w:r>
        <w:rPr>
          <w:sz w:val="28"/>
          <w:rFonts w:ascii="Times New Roman" w:hAnsi="Times New Roman"/>
        </w:rPr>
        <w:t>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Do rasta Obračunatih prihoda poslovanja – nenaplaćenih došlo je iz razloga nepravovremene uplate tekućih pomoći iz proračuna jednog od osnivača JVP Opatija. Uplata je izvršena 04.07.2025., a trebala je biti zaključno s 30.06.2025., osnovom pravovremeno zaprimljenog poziva/obračuna koje JVP Opatija mjesečno dostavlja osnivačima na izvršenje.</w:t>
      </w:r>
    </w:p>
    <w:p/>
    <w:p>
      <w:pPr>
        <w:jc w:val="center"/>
        <w:pStyle w:val="Normal"/>
        <w:spacing w:line="240" w:lineRule="auto"/>
        <w:keepNext/>
      </w:pPr>
      <w:r>
        <w:rPr>
          <w:sz w:val="28"/>
          <w:rFonts w:ascii="Times New Roman" w:hAnsi="Times New Roman"/>
        </w:rPr>
        <w:t>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pPr>
        <w:jc w:val="both"/>
        <w:pStyle w:val="Normal"/>
        <w:spacing w:line="240" w:lineRule="auto"/>
      </w:pPr>
      <w:r>
        <w:rPr>
          <w:sz w:val="24"/>
          <w:rFonts w:ascii="Times New Roman" w:hAnsi="Times New Roman"/>
        </w:rPr>
        <w:t>Povećanje nenaplaćenih prihoda od pruženih usluga rezultat je većeg broja sklopljenih ugovora o pružanju usluga vatrodojave, a iznos od 610,52 eura čine fakturirani obroci za mjesec lipanj, s dospijećem u mjesecu srpnju. 
</w:t>
      </w:r>
    </w:p>
    <w:p/>
    <w:p>
      <w:pPr>
        <w:jc w:val="center"/>
        <w:pStyle w:val="Normal"/>
        <w:spacing w:line="240" w:lineRule="auto"/>
        <w:keepNext/>
      </w:pPr>
      <w:r>
        <w:rPr>
          <w:sz w:val="28"/>
          <w:rFonts w:ascii="Times New Roman" w:hAnsi="Times New Roman"/>
        </w:rPr>
        <w:t>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bl>
    <w:p>
      <w:pPr>
        <w:spacing w:before="0" w:after="0"/>
      </w:pPr>
    </w:p>
    <w:p>
      <w:pPr>
        <w:jc w:val="both"/>
        <w:pStyle w:val="Normal"/>
        <w:spacing w:line="240" w:lineRule="auto"/>
      </w:pPr>
      <w:r>
        <w:rPr>
          <w:sz w:val="24"/>
          <w:rFonts w:ascii="Times New Roman" w:hAnsi="Times New Roman"/>
        </w:rPr>
        <w:t>Rast rashoda za nabavu nefinancijske imovine rezultat je rasta rashoda za nabavu Postrojenja i opreme, kao i evidentiranja rashoda za nabavu nematerijalne proizvedene imovine koja šifra rashoda nije ostvarena u prvom polugodištu 2024. godine.
</w:t>
      </w:r>
    </w:p>
    <w:p/>
    <w:p>
      <w:pPr>
        <w:jc w:val="center"/>
        <w:pStyle w:val="Normal"/>
        <w:spacing w:line="240" w:lineRule="auto"/>
        <w:keepNext/>
      </w:pPr>
      <w:r>
        <w:rPr>
          <w:sz w:val="28"/>
          <w:rFonts w:ascii="Times New Roman" w:hAnsi="Times New Roman"/>
        </w:rPr>
        <w:t>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bl>
    <w:p>
      <w:pPr>
        <w:spacing w:before="0" w:after="0"/>
      </w:pPr>
    </w:p>
    <w:p>
      <w:pPr>
        <w:jc w:val="both"/>
        <w:pStyle w:val="Normal"/>
        <w:spacing w:line="240" w:lineRule="auto"/>
      </w:pPr>
      <w:r>
        <w:rPr>
          <w:sz w:val="24"/>
          <w:rFonts w:ascii="Times New Roman" w:hAnsi="Times New Roman"/>
        </w:rPr>
        <w:t>Sastoje se isključivo iz šifre 422 Postrojenja i oprema, gdje se rast rashoda bilježi na šifri Oprema za održavanje i zaštitu, dok šifra Uredska oprema i namještaj bilježe pad ostvarenja. </w:t>
      </w:r>
    </w:p>
    <w:p/>
    <w:p>
      <w:pPr>
        <w:jc w:val="center"/>
        <w:pStyle w:val="Normal"/>
        <w:spacing w:line="240" w:lineRule="auto"/>
        <w:keepNext/>
      </w:pPr>
      <w:r>
        <w:rPr>
          <w:sz w:val="28"/>
          <w:rFonts w:ascii="Times New Roman" w:hAnsi="Times New Roman"/>
        </w:rPr>
        <w:t>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w:t>
            </w:r>
          </w:p>
        </w:tc>
      </w:tr>
    </w:tbl>
    <w:p>
      <w:pPr>
        <w:spacing w:before="0" w:after="0"/>
      </w:pPr>
    </w:p>
    <w:p>
      <w:pPr>
        <w:jc w:val="both"/>
        <w:pStyle w:val="Normal"/>
        <w:spacing w:line="240" w:lineRule="auto"/>
      </w:pPr>
      <w:r>
        <w:rPr>
          <w:sz w:val="24"/>
          <w:rFonts w:ascii="Times New Roman" w:hAnsi="Times New Roman"/>
        </w:rPr>
        <w:t>Tijekom prvog polugodišta 2025. godine nabavljeno je manje uredske opreme i namještaja nego što je iznosila nabava u 2024. godini, kada su nabavljeni madraci za spavaonicu i sjedeća garnitura za dnevni boravak.</w:t>
      </w:r>
    </w:p>
    <w:p/>
    <w:p>
      <w:pPr>
        <w:jc w:val="center"/>
        <w:pStyle w:val="Normal"/>
        <w:spacing w:line="240" w:lineRule="auto"/>
        <w:keepNext/>
      </w:pPr>
      <w:r>
        <w:rPr>
          <w:sz w:val="28"/>
          <w:rFonts w:ascii="Times New Roman" w:hAnsi="Times New Roman"/>
        </w:rPr>
        <w:t>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222,8</w:t>
            </w:r>
          </w:p>
        </w:tc>
      </w:tr>
    </w:tbl>
    <w:p>
      <w:pPr>
        <w:spacing w:before="0" w:after="0"/>
      </w:pPr>
    </w:p>
    <w:p>
      <w:pPr>
        <w:jc w:val="both"/>
        <w:pStyle w:val="Normal"/>
        <w:spacing w:line="240" w:lineRule="auto"/>
      </w:pPr>
      <w:r>
        <w:rPr>
          <w:sz w:val="24"/>
          <w:rFonts w:ascii="Times New Roman" w:hAnsi="Times New Roman"/>
        </w:rPr>
        <w:t>Rast rashoda za nabavu opreme za održavanje i zaštitu rezultat je najvećim dijelom nabave baterijskih hidrauličnih škara iznosa 9.862,50 eura, za koje je proveden postupak jednostavne nabave. U prošloj godini u promatranom razdoblju nije bilo većih pojedinačnih nabava opreme za održavanje i zaštitu.</w:t>
      </w:r>
    </w:p>
    <w:p/>
    <w:p>
      <w:pPr>
        <w:jc w:val="center"/>
        <w:pStyle w:val="Normal"/>
        <w:spacing w:line="240" w:lineRule="auto"/>
        <w:keepNext/>
      </w:pPr>
      <w:r>
        <w:rPr>
          <w:sz w:val="28"/>
          <w:rFonts w:ascii="Times New Roman" w:hAnsi="Times New Roman"/>
        </w:rPr>
        <w:t>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Ova šifra izvršena je s 475,00 eura, a sastoji se od troška geodetske usluge izrade Podloge za predaju glavnog projekta na ishođenje građevinske dozvole za potrebe izgradnje Centra za postupanje u kriznim situacijama Liburnija (ex vatrogasni dom), za koji je ishođena lokacijska dozvola, potvrđen je parcelacijski elaborat za cestu Kosićevo put za Volosko, investitora Grad Opatija, a koja cesta svojim obuhvatom prolazi kroz predmetnu građevnu česticu na kojoj je predviđena izgradnja objekta. Bilo je potrebno izmijeniti postojeću geodetsku podlogu na način da se građevna čestica budućeg Centra veže na građevnu česticu Opatijske ceste. U prvom polugodištu 2024. godine ove vrste troška nije bilo.</w:t>
      </w:r>
    </w:p>
    <w:p/>
    <w:p>
      <w:pPr>
        <w:jc w:val="center"/>
        <w:pStyle w:val="Normal"/>
        <w:spacing w:line="240" w:lineRule="auto"/>
        <w:keepNext/>
      </w:pPr>
      <w:r>
        <w:rPr>
          <w:sz w:val="28"/>
          <w:rFonts w:ascii="Times New Roman" w:hAnsi="Times New Roman"/>
        </w:rPr>
        <w:t>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bl>
    <w:p>
      <w:pPr>
        <w:spacing w:before="0" w:after="0"/>
      </w:pPr>
    </w:p>
    <w:p>
      <w:pPr>
        <w:jc w:val="both"/>
        <w:pStyle w:val="Normal"/>
        <w:spacing w:line="240" w:lineRule="auto"/>
      </w:pPr>
      <w:r>
        <w:rPr>
          <w:sz w:val="24"/>
          <w:rFonts w:ascii="Times New Roman" w:hAnsi="Times New Roman"/>
        </w:rPr>
        <w:t>Bilježi rast od 38% obzirom na rast rashoda za nabavu nefinancijske imovine.</w:t>
      </w:r>
    </w:p>
    <w:p/>
    <w:p>
      <w:pPr>
        <w:jc w:val="center"/>
        <w:pStyle w:val="Normal"/>
        <w:spacing w:line="240" w:lineRule="auto"/>
        <w:keepNext/>
      </w:pPr>
      <w:r>
        <w:rPr>
          <w:sz w:val="28"/>
          <w:rFonts w:ascii="Times New Roman" w:hAnsi="Times New Roman"/>
        </w:rPr>
        <w:t>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VIŠAK PRIHODA (šifre X067-Y034)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w:t>
            </w:r>
          </w:p>
        </w:tc>
      </w:tr>
    </w:tbl>
    <w:p>
      <w:pPr>
        <w:spacing w:before="0" w:after="0"/>
      </w:pPr>
    </w:p>
    <w:p>
      <w:pPr>
        <w:jc w:val="both"/>
        <w:pStyle w:val="Normal"/>
        <w:spacing w:line="240" w:lineRule="auto"/>
      </w:pPr>
      <w:r>
        <w:rPr>
          <w:sz w:val="24"/>
          <w:rFonts w:ascii="Times New Roman" w:hAnsi="Times New Roman"/>
        </w:rPr>
        <w:t>Kao razlika ukupnih prihoda i ukupnih rashoda JVP Opatija je u prvom polugodištu ostvarila ukupan višak prihoda od 9.263,15 eura, što je 57% ostvarenja viška prihoda iz istog promatranog razdoblja prethodne godine. U apsolutnom iznosu višak prihoda manji je za -6.976,69 eura.  </w:t>
      </w:r>
    </w:p>
    <w:p/>
    <w:p>
      <w:pPr>
        <w:jc w:val="center"/>
        <w:pStyle w:val="Normal"/>
        <w:spacing w:line="240" w:lineRule="auto"/>
        <w:keepNext/>
      </w:pPr>
      <w:r>
        <w:rPr>
          <w:sz w:val="28"/>
          <w:rFonts w:ascii="Times New Roman" w:hAnsi="Times New Roman"/>
        </w:rPr>
        <w:t>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1813,1</w:t>
            </w:r>
          </w:p>
        </w:tc>
      </w:tr>
    </w:tbl>
    <w:p>
      <w:pPr>
        <w:spacing w:before="0" w:after="0"/>
      </w:pPr>
    </w:p>
    <w:p>
      <w:pPr>
        <w:jc w:val="both"/>
        <w:pStyle w:val="Normal"/>
        <w:spacing w:line="240" w:lineRule="auto"/>
      </w:pPr>
      <w:r>
        <w:rPr>
          <w:sz w:val="24"/>
          <w:rFonts w:ascii="Times New Roman" w:hAnsi="Times New Roman"/>
        </w:rPr>
        <w:t>Preneseni manjak iz prethodne godine iznosi -76.765,62 eura i veći je u odnosu na preneseni manjak u 2024. godini (-4.233,99 eura) za +72.531,63 eura, a čine ga obračun plaće s pripadajućim davanjima za mjesec prosinac i računi iz prosinca 2024. godine za koje su sredstva proračuna doznačena u siječnju 2025. godine, odnosno radi se o tehničkom manjku koji se pokriva iz prihoda nadležnog proračuna za financiranje rashoda poslovanja u iznosu od 68.107,27 eura i iz manje izvršenih prihoda iz tekućih pomoći proračunu od strane JLS u iznosu od 8.658,35 eura, a što je utvrđeno konačnim obračunom za 2024. godinu. Ovakvo povećanje tehničkog manjka rezultat je ukidanja podskupine 193 Kontinuirani rashodi budućih razdoblja, te prenošenje na odgovarajuće račune razreda 3 Rashodi poslovanja – trošak isplaćene plaće s pripadajućim davanjima za prosinac 2024. godine, isplaćene u siječnju 2025. godine koji trošak je teretio proračun za 2024. godinu u vidu trinaestog rashoda. U prethodnim obračunima, rashodi za plaću za mjesec prosinac iskazivali su se kao aktivno vremensko razgraničenje 19311 - Kontinuirani rashodi budućih razdoblja i pripadajuća obveza na podskupini 231 obveze za zaposlene, tako da se preneseni manjak u 2024. godini u iznosu od -4.233,99 eura sastojao samo od računa za mjesec prosinac 2023. godine za koje račune su sredstva proračuna doznačena u siječnju 2024. godine.</w:t>
      </w:r>
    </w:p>
    <w:p/>
    <w:p>
      <w:pPr>
        <w:jc w:val="center"/>
        <w:pStyle w:val="Normal"/>
        <w:spacing w:line="240" w:lineRule="auto"/>
        <w:keepNext/>
      </w:pPr>
      <w:r>
        <w:rPr>
          <w:sz w:val="28"/>
          <w:rFonts w:ascii="Times New Roman" w:hAnsi="Times New Roman"/>
        </w:rPr>
        <w:t>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Do rasta Obračunatih prihoda poslovanja – nenaplaćenih došlo je iz razloga nepravovremene uplate tekućih pomoći iz proračuna jednog od osnivača JVP Opatija. Uplata je izvršena 04.07.2025., a trebala je biti zaključno s 30.06.2025., osnovom pravovremeno zaprimljenog poziva/obračuna koje JVP Opatija mjesečno dostavlja osnivačima na izvršenje.</w:t>
      </w:r>
    </w:p>
    <w:p/>
    <w:p>
      <w:pPr>
        <w:jc w:val="center"/>
        <w:pStyle w:val="Normal"/>
        <w:spacing w:line="240" w:lineRule="auto"/>
        <w:keepNext/>
      </w:pPr>
      <w:r>
        <w:rPr>
          <w:sz w:val="28"/>
          <w:rFonts w:ascii="Times New Roman" w:hAnsi="Times New Roman"/>
        </w:rPr>
        <w:t>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Razlika ostvarenog viška prihoda i primitaka u razdoblju I-VI 2024. i prenesenog manjka iz prethodne 2023. godine daje višak prihoda i primitaka u iznosu od 12.005,85 eura raspoloživ u razdoblju I-VI 2024. godine. U 2025. godini ostvaren je manjak prihoda i primitaka za pokriće u slijedećem razdoblju u iznosu od 67.502,47 eura. </w:t>
      </w:r>
    </w:p>
    <w:p/>
    <w:p>
      <w:pPr>
        <w:jc w:val="center"/>
        <w:pStyle w:val="Normal"/>
        <w:spacing w:line="240" w:lineRule="auto"/>
        <w:keepNext/>
      </w:pPr>
      <w:r>
        <w:rPr>
          <w:sz w:val="28"/>
          <w:rFonts w:ascii="Times New Roman" w:hAnsi="Times New Roman"/>
        </w:rPr>
        <w:t>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67.502,47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Razlika ostvarenog viška prihoda i primitaka i prenesenog manjka iz prethodne godine daje manjak prihoda i primitaka za pokriće u slijedećem razdoblju koji iznosi -67.502,47 eura,  a radi se o tehničkom manjku koje čine računi za mjesec lipanj, koji će biti plaćeni u mjesecu srpnju, te obračunate plaće za mjesec lipanj, koje će također biti isplaćene u mjesecu srpnju. </w:t>
      </w:r>
    </w:p>
    <w:p/>
    <w:p>
      <w:pPr>
        <w:jc w:val="center"/>
        <w:pStyle w:val="Normal"/>
        <w:spacing w:line="240" w:lineRule="auto"/>
        <w:keepNext/>
      </w:pPr>
      <w:r>
        <w:rPr>
          <w:sz w:val="28"/>
          <w:rFonts w:ascii="Times New Roman" w:hAnsi="Times New Roman"/>
        </w:rPr>
        <w:t>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w:t>
            </w:r>
          </w:p>
        </w:tc>
      </w:tr>
    </w:tbl>
    <w:p>
      <w:pPr>
        <w:spacing w:before="0" w:after="0"/>
      </w:pPr>
    </w:p>
    <w:p>
      <w:pPr>
        <w:jc w:val="both"/>
        <w:pStyle w:val="Normal"/>
        <w:spacing w:line="240" w:lineRule="auto"/>
      </w:pPr>
      <w:r>
        <w:rPr>
          <w:sz w:val="24"/>
          <w:rFonts w:ascii="Times New Roman" w:hAnsi="Times New Roman"/>
        </w:rPr>
        <w:t>U promatranom razdoblju ostvaren je manji prosječan broj zaposlenih na osnovi sati rada, kao rezultat manje ostvarenog fonda sati nego u istom razdoblju prethodne godine - koristi se 1 rodiljni dopust, korištena su 2 očinska dopusta i 2 roditeljska dopusta. Ujedno je od odlaska jednog zaposlenog radnika u mirovinu do upražnjenja radnog mjesta protekao rok od četiri mjeseca, u tom razdoblju JVP Opatija poslovala je s jednim zaposlenim manje.</w:t>
      </w:r>
    </w:p>
    <w:p/>
    <w:p>
      <w:pPr>
        <w:jc w:val="center"/>
        <w:pStyle w:val="Normal"/>
        <w:spacing w:line="240" w:lineRule="auto"/>
        <w:keepNext/>
      </w:pPr>
      <w:r>
        <w:rPr>
          <w:sz w:val="28"/>
          <w:rFonts w:ascii="Times New Roman" w:hAnsi="Times New Roman"/>
        </w:rPr>
        <w:t>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w:t>
            </w:r>
          </w:p>
        </w:tc>
      </w:tr>
    </w:tbl>
    <w:p>
      <w:pPr>
        <w:spacing w:before="0" w:after="0"/>
      </w:pPr>
    </w:p>
    <w:p>
      <w:pPr>
        <w:jc w:val="both"/>
        <w:pStyle w:val="Normal"/>
        <w:spacing w:line="240" w:lineRule="auto"/>
      </w:pPr>
      <w:r>
        <w:rPr>
          <w:sz w:val="24"/>
          <w:rFonts w:ascii="Times New Roman" w:hAnsi="Times New Roman"/>
        </w:rPr>
        <w:t>Povećanje od +50.604,39 eura nastalo je iz razloga što su u prvom polugodištu 2025. godine isplaćene ukupno tri otpremnine u bruto iznosu od 72.663,42 eura, dok je u istom promatranom razdoblju 2024. godine isplaćena jedna otpremnina u bruto iznosu od 22.059,38 eura. </w:t>
      </w:r>
    </w:p>
    <w:p/>
    <w:p>
      <w:pPr>
        <w:jc w:val="center"/>
        <w:pStyle w:val="Normal"/>
        <w:spacing w:line="240" w:lineRule="auto"/>
        <w:keepNext/>
      </w:pPr>
      <w:r>
        <w:rPr>
          <w:sz w:val="28"/>
          <w:rFonts w:ascii="Times New Roman" w:hAnsi="Times New Roman"/>
        </w:rPr>
        <w:t>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na posao i s posla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bl>
    <w:p>
      <w:pPr>
        <w:spacing w:before="0" w:after="0"/>
      </w:pPr>
    </w:p>
    <w:p>
      <w:pPr>
        <w:jc w:val="both"/>
        <w:pStyle w:val="Normal"/>
        <w:spacing w:line="240" w:lineRule="auto"/>
      </w:pPr>
      <w:r>
        <w:rPr>
          <w:sz w:val="24"/>
          <w:rFonts w:ascii="Times New Roman" w:hAnsi="Times New Roman"/>
        </w:rPr>
        <w:t>Cijene mjesečnih pokaznih karata od 01. siječnja 2025. godine povećane su za prosječno 8%, što je rezultiralo povećanjem naknada za prijevoz na posao i  s posla. 
</w:t>
      </w:r>
    </w:p>
    <w:p/>
    <w:p>
      <w:pPr>
        <w:jc w:val="center"/>
        <w:pStyle w:val="Normal"/>
        <w:spacing w:line="240" w:lineRule="auto"/>
        <w:keepNext/>
      </w:pPr>
      <w:r>
        <w:rPr>
          <w:sz w:val="28"/>
          <w:rFonts w:ascii="Times New Roman" w:hAnsi="Times New Roman"/>
        </w:rPr>
        <w:t>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pPr>
        <w:jc w:val="both"/>
        <w:pStyle w:val="Normal"/>
        <w:spacing w:line="240" w:lineRule="auto"/>
      </w:pPr>
      <w:r>
        <w:rPr>
          <w:sz w:val="24"/>
          <w:rFonts w:ascii="Times New Roman" w:hAnsi="Times New Roman"/>
        </w:rPr>
        <w:t>Ugovorene premije osiguranja zaposlenih u promatranom razdoblju sadrže premiju osiguranja vatrogasaca-ronioca od nezgode i premiju osiguranja od odgovornosti prema djelatnicima, a porast od 11,0% rezultat je nešto veće premije osiguranja od odgovornosti prema djelatnicima uslijed proširenja pokrića na osiguranje naknade troškova liječenja po regresnim zahtjevima HZZO-a, odnosno invalidskim mirovinama HZZM-a, te uslijed povećanja osnovice za obračun premije osiguranja (porast ukupnog prihoda i plaća).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obrascu Obveze prikazuje se nova šifra N27 koja je posljedica otvaranja novog računa 27612 Obveze proračunskih korisnika za povrat u proračun – bolovanje HZZO, sukladno odredbi čl. 142., Pravilnika o proračunskom računovodstvu i Računskom planu (NN 158/23 i 154/24), koji definira da proračunski korisnici kojima nadležni proračun osigurava sredstva za isplatu te naknade, sredstva primljena iz  nadležnog proračuna za tu namjenu ne priznaju kao prihod na podskupini 671 nego odobravaju račun 27612. Kako HZZO refundira sredstva na račun nadležnog proračuna koji je osigurao sredstva za isplatu te naknade, temeljem obavijesti proračuna, proračunski korisnici refundaciju sredstava evidentiraju zaduženjem računa 27612 (uz odobrenje računa 12911). </w:t>
      </w:r>
    </w:p>
    <w:p/>
    <w:p>
      <w:pPr>
        <w:jc w:val="center"/>
        <w:pStyle w:val="Normal"/>
        <w:spacing w:line="240" w:lineRule="auto"/>
        <w:keepNext/>
      </w:pPr>
      <w:r>
        <w:rPr>
          <w:sz w:val="28"/>
          <w:rFonts w:ascii="Times New Roman" w:hAnsi="Times New Roman"/>
        </w:rPr>
        <w:t>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dan 30.06.2025. Javna vatrogasna postrojba Opatija nema nepodmirenih dospjelih obaveza.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a3d2f4f50e84782" /></Relationships>
</file>