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8794" w14:textId="154C4601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bookmarkStart w:id="0" w:name="_Hlk143775155"/>
      <w:r w:rsidRPr="00724570">
        <w:rPr>
          <w:rFonts w:ascii="Georgia" w:hAnsi="Georgia"/>
        </w:rPr>
        <w:t>Na temelju Naputka o postupku i kriterijima godišnjeg ocjenjivanja radnika u Javnoj vatrogasnoj postrojbi Opatija</w:t>
      </w:r>
      <w:r w:rsidR="00940018">
        <w:rPr>
          <w:rFonts w:ascii="Georgia" w:hAnsi="Georgia"/>
        </w:rPr>
        <w:t xml:space="preserve"> </w:t>
      </w:r>
      <w:r w:rsidRPr="00724570">
        <w:rPr>
          <w:rFonts w:ascii="Georgia" w:hAnsi="Georgia"/>
        </w:rPr>
        <w:t xml:space="preserve">KLASA: 119-02/24-01-1,URBROJ:2156-9/01-24-1 od 31.10.2024.g., na temelju članka </w:t>
      </w:r>
      <w:bookmarkEnd w:id="0"/>
      <w:r w:rsidRPr="00724570">
        <w:rPr>
          <w:rFonts w:ascii="Georgia" w:hAnsi="Georgia"/>
        </w:rPr>
        <w:t>19. Statuta Javne vatrogasne postrojbe Opatija, na prijedlog Zapovjednika, Vatrogasno vijeće Javne vatrogasne postrojbe Opatija, nakon savjetovanja sa Sindikatom, na</w:t>
      </w:r>
      <w:r w:rsidR="00940018">
        <w:rPr>
          <w:rFonts w:ascii="Georgia" w:hAnsi="Georgia"/>
        </w:rPr>
        <w:t xml:space="preserve"> 5.</w:t>
      </w:r>
      <w:r w:rsidRPr="00724570">
        <w:rPr>
          <w:rFonts w:ascii="Georgia" w:hAnsi="Georgia"/>
        </w:rPr>
        <w:t xml:space="preserve"> sjednici Vatrogasnog vijeća održanoj dana</w:t>
      </w:r>
      <w:r w:rsidR="00940018">
        <w:rPr>
          <w:rFonts w:ascii="Georgia" w:hAnsi="Georgia"/>
        </w:rPr>
        <w:t xml:space="preserve"> 25. svibnja </w:t>
      </w:r>
      <w:r w:rsidRPr="00724570">
        <w:rPr>
          <w:rFonts w:ascii="Georgia" w:hAnsi="Georgia"/>
        </w:rPr>
        <w:t>2026. godine donosi:</w:t>
      </w:r>
    </w:p>
    <w:p w14:paraId="2E1418C0" w14:textId="77777777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</w:p>
    <w:p w14:paraId="29033F93" w14:textId="77777777" w:rsidR="00940018" w:rsidRDefault="00940018" w:rsidP="00724570">
      <w:pPr>
        <w:pStyle w:val="Bezproreda"/>
        <w:jc w:val="center"/>
        <w:rPr>
          <w:rFonts w:ascii="Georgia" w:hAnsi="Georgia"/>
          <w:b/>
          <w:bCs/>
        </w:rPr>
      </w:pPr>
    </w:p>
    <w:p w14:paraId="54064B60" w14:textId="1E406F87" w:rsidR="006E4FC1" w:rsidRPr="00724570" w:rsidRDefault="006E4FC1" w:rsidP="00724570">
      <w:pPr>
        <w:pStyle w:val="Bezproreda"/>
        <w:jc w:val="center"/>
        <w:rPr>
          <w:rFonts w:ascii="Georgia" w:hAnsi="Georgia"/>
          <w:b/>
          <w:bCs/>
        </w:rPr>
      </w:pPr>
      <w:r w:rsidRPr="00724570">
        <w:rPr>
          <w:rFonts w:ascii="Georgia" w:hAnsi="Georgia"/>
          <w:b/>
          <w:bCs/>
        </w:rPr>
        <w:t>ODLUKU O DOPUNAMA</w:t>
      </w:r>
    </w:p>
    <w:p w14:paraId="1086829C" w14:textId="77777777" w:rsidR="006E4FC1" w:rsidRPr="00724570" w:rsidRDefault="006E4FC1" w:rsidP="00724570">
      <w:pPr>
        <w:pStyle w:val="Bezproreda"/>
        <w:jc w:val="center"/>
        <w:rPr>
          <w:rFonts w:ascii="Georgia" w:hAnsi="Georgia"/>
          <w:b/>
          <w:bCs/>
        </w:rPr>
      </w:pPr>
      <w:r w:rsidRPr="00724570">
        <w:rPr>
          <w:rFonts w:ascii="Georgia" w:hAnsi="Georgia"/>
          <w:b/>
          <w:bCs/>
        </w:rPr>
        <w:t>NAPUTKA</w:t>
      </w:r>
    </w:p>
    <w:p w14:paraId="134D6142" w14:textId="77777777" w:rsidR="006E4FC1" w:rsidRPr="00724570" w:rsidRDefault="006E4FC1" w:rsidP="00724570">
      <w:pPr>
        <w:pStyle w:val="Bezproreda"/>
        <w:jc w:val="center"/>
        <w:rPr>
          <w:rFonts w:ascii="Georgia" w:hAnsi="Georgia"/>
          <w:b/>
          <w:bCs/>
        </w:rPr>
      </w:pPr>
      <w:r w:rsidRPr="00724570">
        <w:rPr>
          <w:rFonts w:ascii="Georgia" w:hAnsi="Georgia"/>
          <w:b/>
          <w:bCs/>
        </w:rPr>
        <w:t>O POSTUPKU I KRITERIJIMA GODIŠNJEG OCJENJIVANJA RADNIKA U JAVNOJ VATROGASNOJ POSTROJBI  OPATIJA</w:t>
      </w:r>
    </w:p>
    <w:p w14:paraId="71416F8D" w14:textId="77777777" w:rsidR="00724570" w:rsidRDefault="00724570" w:rsidP="00724570">
      <w:pPr>
        <w:pStyle w:val="Bezproreda"/>
        <w:jc w:val="both"/>
        <w:rPr>
          <w:rFonts w:ascii="Georgia" w:hAnsi="Georgia"/>
        </w:rPr>
      </w:pPr>
    </w:p>
    <w:p w14:paraId="27E049FF" w14:textId="77777777" w:rsidR="00940018" w:rsidRPr="00724570" w:rsidRDefault="00940018" w:rsidP="00724570">
      <w:pPr>
        <w:pStyle w:val="Bezproreda"/>
        <w:jc w:val="both"/>
        <w:rPr>
          <w:rFonts w:ascii="Georgia" w:hAnsi="Georgia"/>
        </w:rPr>
      </w:pPr>
    </w:p>
    <w:p w14:paraId="74B670D3" w14:textId="0A156146" w:rsidR="006E4FC1" w:rsidRPr="00724570" w:rsidRDefault="006E4FC1" w:rsidP="00724570">
      <w:pPr>
        <w:pStyle w:val="Bezproreda"/>
        <w:jc w:val="center"/>
        <w:rPr>
          <w:rFonts w:ascii="Georgia" w:hAnsi="Georgia"/>
        </w:rPr>
      </w:pPr>
      <w:r w:rsidRPr="00724570">
        <w:rPr>
          <w:rFonts w:ascii="Georgia" w:hAnsi="Georgia"/>
        </w:rPr>
        <w:t>članak 1.</w:t>
      </w:r>
    </w:p>
    <w:p w14:paraId="633A6B35" w14:textId="77777777" w:rsidR="00724570" w:rsidRDefault="00724570" w:rsidP="00724570">
      <w:pPr>
        <w:pStyle w:val="Bezproreda"/>
        <w:jc w:val="both"/>
        <w:rPr>
          <w:rFonts w:ascii="Georgia" w:hAnsi="Georgia"/>
        </w:rPr>
      </w:pPr>
    </w:p>
    <w:p w14:paraId="70D6CE5D" w14:textId="3008F8B8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ab/>
        <w:t>U članku 12., iza stavka 1. dodaje se novi stavak tako da članak 12. sada glasi:</w:t>
      </w:r>
    </w:p>
    <w:p w14:paraId="66C84A73" w14:textId="77777777" w:rsidR="00724570" w:rsidRDefault="00724570" w:rsidP="00724570">
      <w:pPr>
        <w:pStyle w:val="Bezproreda"/>
        <w:jc w:val="both"/>
        <w:rPr>
          <w:rFonts w:ascii="Georgia" w:hAnsi="Georgia"/>
        </w:rPr>
      </w:pPr>
    </w:p>
    <w:p w14:paraId="691885AA" w14:textId="532FAB37" w:rsidR="00724570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>(1) Neposredno nadređeni radnik prati rad, poštivanje radnih obveza i osobno ponašanje pojedinog radnika tijekom kalendarske godine i predlaže njegovu ocjenu na način i u postupku utvrđenim ovim Naputkom.</w:t>
      </w:r>
    </w:p>
    <w:p w14:paraId="30D8F847" w14:textId="127D39A1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>(2) Radnici koji su u prethodnoj godini radili manje od šest mjeseci ne ocjenjuju se.</w:t>
      </w:r>
    </w:p>
    <w:p w14:paraId="0D4EB3C4" w14:textId="300CA21C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 xml:space="preserve">(3) Prijedlog godišnje ocjene dostavlja se na Obrascu 1, koji je sastavni dio ovog Naputka </w:t>
      </w:r>
    </w:p>
    <w:p w14:paraId="1F530E98" w14:textId="77777777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>(u daljnjem tekstu: Prijedlog godišnje ocjene).</w:t>
      </w:r>
    </w:p>
    <w:p w14:paraId="50638D06" w14:textId="5F7861B5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>(4) Uz Prijedlog godišnje ocjene prilaže se Izvješće o učinkovitosti rada, poštivanju radnih obveza i osobnom ponašanju radnika za kalendarsku godinu (u daljnjem tekstu: Izvješće).</w:t>
      </w:r>
    </w:p>
    <w:p w14:paraId="1625F4AD" w14:textId="0B4D287E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 xml:space="preserve">(5) Iznimno od stavka 4. ovog članka, ako je radnik tijekom kalendarske godine premješten iz jedne u drugu ustrojstvenu jedinicu postrojbe, uz Prijedlog godišnje ocjene prilažu se Izvješća i prijedlozi ocjena za određena izvještajna razdoblja, u kojima je radnik radio u pojedinoj ustrojstvenoj jedinici </w:t>
      </w:r>
    </w:p>
    <w:p w14:paraId="49284DFD" w14:textId="4C76F4C8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>(6) Izvješća i prijedlozi ocjena iz stavka 4. i 5. ovog članka dostavljaju se na Obrascima 2, 3 i 4 koji su sastavni dio ovog Naputka.</w:t>
      </w:r>
    </w:p>
    <w:p w14:paraId="2B4BD4F0" w14:textId="0A815DAD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>(7) Uz Prijedlog godišnje ocjene prilaže se i odgovarajuća dokumentacija o činjenicama i</w:t>
      </w:r>
      <w:r w:rsidR="00724570" w:rsidRPr="00724570">
        <w:rPr>
          <w:rFonts w:ascii="Georgia" w:hAnsi="Georgia"/>
        </w:rPr>
        <w:t xml:space="preserve"> </w:t>
      </w:r>
      <w:r w:rsidRPr="00724570">
        <w:rPr>
          <w:rFonts w:ascii="Georgia" w:hAnsi="Georgia"/>
        </w:rPr>
        <w:t>okolnostima koje, sukladno odredbama ovog Naputka, bitno utječu na godišnju ocjenu.</w:t>
      </w:r>
    </w:p>
    <w:p w14:paraId="428B5CAC" w14:textId="77777777" w:rsidR="00724570" w:rsidRPr="00724570" w:rsidRDefault="00724570" w:rsidP="00724570">
      <w:pPr>
        <w:pStyle w:val="Bezproreda"/>
        <w:jc w:val="both"/>
        <w:rPr>
          <w:rFonts w:ascii="Georgia" w:hAnsi="Georgia"/>
        </w:rPr>
      </w:pPr>
    </w:p>
    <w:p w14:paraId="77B3CED9" w14:textId="776F043A" w:rsidR="006E4FC1" w:rsidRPr="00724570" w:rsidRDefault="006E4FC1" w:rsidP="00724570">
      <w:pPr>
        <w:pStyle w:val="Bezproreda"/>
        <w:jc w:val="center"/>
        <w:rPr>
          <w:rFonts w:ascii="Georgia" w:hAnsi="Georgia"/>
        </w:rPr>
      </w:pPr>
      <w:r w:rsidRPr="00724570">
        <w:rPr>
          <w:rFonts w:ascii="Georgia" w:hAnsi="Georgia"/>
        </w:rPr>
        <w:t>članak 2.</w:t>
      </w:r>
    </w:p>
    <w:p w14:paraId="363F011C" w14:textId="77777777" w:rsidR="00724570" w:rsidRDefault="00724570" w:rsidP="00724570">
      <w:pPr>
        <w:pStyle w:val="Bezproreda"/>
        <w:jc w:val="both"/>
        <w:rPr>
          <w:rFonts w:ascii="Georgia" w:hAnsi="Georgia"/>
        </w:rPr>
      </w:pPr>
    </w:p>
    <w:p w14:paraId="4982863E" w14:textId="2CDD0614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ab/>
        <w:t>Iza članka 7. dodaje se novi članak 7.a koji glasi:</w:t>
      </w:r>
    </w:p>
    <w:p w14:paraId="53B3F8D2" w14:textId="77777777" w:rsidR="00724570" w:rsidRDefault="00724570" w:rsidP="00724570">
      <w:pPr>
        <w:pStyle w:val="Bezproreda"/>
        <w:jc w:val="both"/>
        <w:rPr>
          <w:rFonts w:ascii="Georgia" w:hAnsi="Georgia"/>
        </w:rPr>
      </w:pPr>
    </w:p>
    <w:p w14:paraId="1C6E7C31" w14:textId="2A1A72D4" w:rsidR="00724570" w:rsidRPr="00724570" w:rsidRDefault="00724570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 xml:space="preserve">(1) Razdoblja </w:t>
      </w:r>
      <w:proofErr w:type="spellStart"/>
      <w:r w:rsidRPr="00724570">
        <w:rPr>
          <w:rFonts w:ascii="Georgia" w:hAnsi="Georgia"/>
        </w:rPr>
        <w:t>rodiljnog</w:t>
      </w:r>
      <w:proofErr w:type="spellEnd"/>
      <w:r w:rsidRPr="00724570">
        <w:rPr>
          <w:rFonts w:ascii="Georgia" w:hAnsi="Georgia"/>
        </w:rPr>
        <w:t xml:space="preserve">, roditeljskog, </w:t>
      </w:r>
      <w:proofErr w:type="spellStart"/>
      <w:r w:rsidRPr="00724570">
        <w:rPr>
          <w:rFonts w:ascii="Georgia" w:hAnsi="Georgia"/>
        </w:rPr>
        <w:t>posvojiteljskog</w:t>
      </w:r>
      <w:proofErr w:type="spellEnd"/>
      <w:r w:rsidRPr="00724570">
        <w:rPr>
          <w:rFonts w:ascii="Georgia" w:hAnsi="Georgia"/>
        </w:rPr>
        <w:t xml:space="preserve">, očinskog dopusta ili dopusta koji je po sadržaju i načinu korištenja istovjetan pravu na očinski dopust, rada s polovicom punog radnog vremena, rada s polovicom punog radnog vremena radi pojačane njege djeteta, dopusta trudne radnice, dopusta radnice koja je rodila ili radnice koja doji dijete te dopusta ili rada s polovicom punog radnog vremena radi skrbi i njege djeteta s težim smetnjama u razvoju, u skladu s propisom o </w:t>
      </w:r>
      <w:proofErr w:type="spellStart"/>
      <w:r w:rsidRPr="00724570">
        <w:rPr>
          <w:rFonts w:ascii="Georgia" w:hAnsi="Georgia"/>
        </w:rPr>
        <w:t>rodiljnim</w:t>
      </w:r>
      <w:proofErr w:type="spellEnd"/>
      <w:r w:rsidRPr="00724570">
        <w:rPr>
          <w:rFonts w:ascii="Georgia" w:hAnsi="Georgia"/>
        </w:rPr>
        <w:t xml:space="preserve"> i roditeljskim potporama, smatraju se vremenom provedenim na radu u punom radnom vremenu.</w:t>
      </w:r>
    </w:p>
    <w:p w14:paraId="6304BB32" w14:textId="31E68C99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>(</w:t>
      </w:r>
      <w:r w:rsidR="00724570" w:rsidRPr="00724570">
        <w:rPr>
          <w:rFonts w:ascii="Georgia" w:hAnsi="Georgia"/>
        </w:rPr>
        <w:t>2</w:t>
      </w:r>
      <w:r w:rsidRPr="00724570">
        <w:rPr>
          <w:rFonts w:ascii="Georgia" w:hAnsi="Georgia"/>
        </w:rPr>
        <w:t xml:space="preserve">) Ako su razdoblja odsutnosti s rada iz stavka </w:t>
      </w:r>
      <w:r w:rsidR="00724570" w:rsidRPr="00724570">
        <w:rPr>
          <w:rFonts w:ascii="Georgia" w:hAnsi="Georgia"/>
        </w:rPr>
        <w:t>1</w:t>
      </w:r>
      <w:r w:rsidRPr="00724570">
        <w:rPr>
          <w:rFonts w:ascii="Georgia" w:hAnsi="Georgia"/>
        </w:rPr>
        <w:t>. ovoga članka trajala dulje od šest mjeseci u kalendarskoj godini za koju se provodi ocjenjivanje, radnik će se ocijeniti ocjenom „uspješan“.</w:t>
      </w:r>
    </w:p>
    <w:p w14:paraId="6356D500" w14:textId="77777777" w:rsidR="00724570" w:rsidRPr="00724570" w:rsidRDefault="00724570" w:rsidP="00724570">
      <w:pPr>
        <w:pStyle w:val="Bezproreda"/>
        <w:jc w:val="both"/>
        <w:rPr>
          <w:rFonts w:ascii="Georgia" w:hAnsi="Georgia"/>
        </w:rPr>
      </w:pPr>
    </w:p>
    <w:p w14:paraId="38858BEC" w14:textId="5C879B42" w:rsidR="006E4FC1" w:rsidRPr="00724570" w:rsidRDefault="006E4FC1" w:rsidP="00724570">
      <w:pPr>
        <w:pStyle w:val="Bezproreda"/>
        <w:jc w:val="center"/>
        <w:rPr>
          <w:rFonts w:ascii="Georgia" w:hAnsi="Georgia"/>
        </w:rPr>
      </w:pPr>
      <w:r w:rsidRPr="00724570">
        <w:rPr>
          <w:rFonts w:ascii="Georgia" w:hAnsi="Georgia"/>
        </w:rPr>
        <w:t xml:space="preserve">članak </w:t>
      </w:r>
      <w:r w:rsidR="00724570" w:rsidRPr="00724570">
        <w:rPr>
          <w:rFonts w:ascii="Georgia" w:hAnsi="Georgia"/>
        </w:rPr>
        <w:t>3</w:t>
      </w:r>
      <w:r w:rsidRPr="00724570">
        <w:rPr>
          <w:rFonts w:ascii="Georgia" w:hAnsi="Georgia"/>
        </w:rPr>
        <w:t>.</w:t>
      </w:r>
    </w:p>
    <w:p w14:paraId="2C41AB39" w14:textId="77777777" w:rsidR="00724570" w:rsidRDefault="00724570" w:rsidP="00724570">
      <w:pPr>
        <w:pStyle w:val="Bezproreda"/>
        <w:jc w:val="both"/>
        <w:rPr>
          <w:rFonts w:ascii="Georgia" w:hAnsi="Georgia"/>
        </w:rPr>
      </w:pPr>
    </w:p>
    <w:p w14:paraId="76559DC5" w14:textId="5A0B1486" w:rsidR="006E4FC1" w:rsidRPr="00724570" w:rsidRDefault="00724570" w:rsidP="00724570">
      <w:pPr>
        <w:pStyle w:val="Bezproreda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 w:rsidR="006E4FC1" w:rsidRPr="00724570">
        <w:rPr>
          <w:rFonts w:ascii="Georgia" w:hAnsi="Georgia"/>
        </w:rPr>
        <w:t>Ostale odredbe Naputka o postupku i kriterijima godišnjeg ocjenjivanja radnika u Javnoj vatrogasnoj postrojbi Opatija ostaju neizmijenjene.</w:t>
      </w:r>
    </w:p>
    <w:p w14:paraId="4D9281E1" w14:textId="77777777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</w:p>
    <w:p w14:paraId="53CFB873" w14:textId="77777777" w:rsidR="00940018" w:rsidRDefault="00940018" w:rsidP="00724570">
      <w:pPr>
        <w:pStyle w:val="Bezproreda"/>
        <w:jc w:val="center"/>
        <w:rPr>
          <w:rFonts w:ascii="Georgia" w:hAnsi="Georgia"/>
        </w:rPr>
      </w:pPr>
    </w:p>
    <w:p w14:paraId="5EC904EE" w14:textId="77777777" w:rsidR="00940018" w:rsidRDefault="00940018" w:rsidP="00724570">
      <w:pPr>
        <w:pStyle w:val="Bezproreda"/>
        <w:jc w:val="center"/>
        <w:rPr>
          <w:rFonts w:ascii="Georgia" w:hAnsi="Georgia"/>
        </w:rPr>
      </w:pPr>
    </w:p>
    <w:p w14:paraId="7F9CADB1" w14:textId="77777777" w:rsidR="00940018" w:rsidRDefault="00940018" w:rsidP="00724570">
      <w:pPr>
        <w:pStyle w:val="Bezproreda"/>
        <w:jc w:val="center"/>
        <w:rPr>
          <w:rFonts w:ascii="Georgia" w:hAnsi="Georgia"/>
        </w:rPr>
      </w:pPr>
    </w:p>
    <w:p w14:paraId="4761A682" w14:textId="77777777" w:rsidR="00940018" w:rsidRDefault="00940018" w:rsidP="00724570">
      <w:pPr>
        <w:pStyle w:val="Bezproreda"/>
        <w:jc w:val="center"/>
        <w:rPr>
          <w:rFonts w:ascii="Georgia" w:hAnsi="Georgia"/>
        </w:rPr>
      </w:pPr>
    </w:p>
    <w:p w14:paraId="088D8390" w14:textId="38C0614D" w:rsidR="006E4FC1" w:rsidRPr="00724570" w:rsidRDefault="006E4FC1" w:rsidP="00724570">
      <w:pPr>
        <w:pStyle w:val="Bezproreda"/>
        <w:jc w:val="center"/>
        <w:rPr>
          <w:rFonts w:ascii="Georgia" w:hAnsi="Georgia"/>
        </w:rPr>
      </w:pPr>
      <w:r w:rsidRPr="00724570">
        <w:rPr>
          <w:rFonts w:ascii="Georgia" w:hAnsi="Georgia"/>
        </w:rPr>
        <w:t xml:space="preserve">članak </w:t>
      </w:r>
      <w:r w:rsidR="00724570" w:rsidRPr="00724570">
        <w:rPr>
          <w:rFonts w:ascii="Georgia" w:hAnsi="Georgia"/>
        </w:rPr>
        <w:t>4</w:t>
      </w:r>
      <w:r w:rsidRPr="00724570">
        <w:rPr>
          <w:rFonts w:ascii="Georgia" w:hAnsi="Georgia"/>
        </w:rPr>
        <w:t>.</w:t>
      </w:r>
    </w:p>
    <w:p w14:paraId="6C4B9D86" w14:textId="77777777" w:rsidR="00724570" w:rsidRDefault="00724570" w:rsidP="00724570">
      <w:pPr>
        <w:pStyle w:val="Bezproreda"/>
        <w:jc w:val="both"/>
        <w:rPr>
          <w:rFonts w:ascii="Georgia" w:hAnsi="Georgia"/>
        </w:rPr>
      </w:pPr>
    </w:p>
    <w:p w14:paraId="37FCD13A" w14:textId="6F08607D" w:rsidR="006E4FC1" w:rsidRPr="00724570" w:rsidRDefault="00724570" w:rsidP="00724570">
      <w:pPr>
        <w:pStyle w:val="Bezproreda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 w:rsidR="006E4FC1" w:rsidRPr="00724570">
        <w:rPr>
          <w:rFonts w:ascii="Georgia" w:hAnsi="Georgia"/>
        </w:rPr>
        <w:t>Izmjene i dopune Naputka o postupku i kriterijima godišnjeg ocjenjivanja radnika u Javnoj vatrogasnoj postrojb</w:t>
      </w:r>
      <w:r>
        <w:rPr>
          <w:rFonts w:ascii="Georgia" w:hAnsi="Georgia"/>
        </w:rPr>
        <w:t>i</w:t>
      </w:r>
      <w:r w:rsidR="006E4FC1" w:rsidRPr="00724570">
        <w:rPr>
          <w:rFonts w:ascii="Georgia" w:hAnsi="Georgia"/>
        </w:rPr>
        <w:t xml:space="preserve"> Opatija stupaju na snagu osmog dana od dana objave na oglasnoj ploči Javne vatrogasne postrojbe Opatija.</w:t>
      </w:r>
    </w:p>
    <w:p w14:paraId="78F37476" w14:textId="77777777" w:rsidR="006E4FC1" w:rsidRPr="00724570" w:rsidRDefault="006E4FC1" w:rsidP="00724570">
      <w:pPr>
        <w:pStyle w:val="Bezproreda"/>
        <w:jc w:val="both"/>
        <w:rPr>
          <w:rFonts w:ascii="Georgia" w:hAnsi="Georgia"/>
        </w:rPr>
      </w:pPr>
    </w:p>
    <w:p w14:paraId="2EC7BD44" w14:textId="77777777" w:rsidR="006E4FC1" w:rsidRDefault="006E4FC1" w:rsidP="00724570">
      <w:pPr>
        <w:pStyle w:val="Bezproreda"/>
        <w:jc w:val="both"/>
        <w:rPr>
          <w:rFonts w:ascii="Georgia" w:hAnsi="Georgia"/>
        </w:rPr>
      </w:pPr>
    </w:p>
    <w:p w14:paraId="3D4CCFE1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287C388E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4D3DC84C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06049FE0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1E121C9E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403DD45F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389E5EE4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73C51F81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4D09C47B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07A6FCB4" w14:textId="77777777" w:rsidR="00940018" w:rsidRPr="00724570" w:rsidRDefault="00940018" w:rsidP="00724570">
      <w:pPr>
        <w:pStyle w:val="Bezproreda"/>
        <w:jc w:val="both"/>
        <w:rPr>
          <w:rFonts w:ascii="Georgia" w:hAnsi="Georgia"/>
        </w:rPr>
      </w:pPr>
    </w:p>
    <w:p w14:paraId="3FB4B0D8" w14:textId="6F14EF17" w:rsidR="006E4FC1" w:rsidRDefault="006E4FC1" w:rsidP="00940018">
      <w:pPr>
        <w:pStyle w:val="Bezproreda"/>
        <w:ind w:firstLine="4678"/>
        <w:rPr>
          <w:rFonts w:ascii="Georgia" w:hAnsi="Georgia"/>
        </w:rPr>
      </w:pPr>
      <w:r w:rsidRPr="00724570">
        <w:rPr>
          <w:rFonts w:ascii="Georgia" w:hAnsi="Georgia"/>
        </w:rPr>
        <w:t>Predsjednik Vatrogasnog vijeća JVP Opatija</w:t>
      </w:r>
    </w:p>
    <w:p w14:paraId="1631F71A" w14:textId="5E327066" w:rsidR="00940018" w:rsidRPr="00724570" w:rsidRDefault="00940018" w:rsidP="00940018">
      <w:pPr>
        <w:pStyle w:val="Bezproreda"/>
        <w:ind w:firstLine="4678"/>
        <w:rPr>
          <w:rFonts w:ascii="Georgia" w:hAnsi="Georgia"/>
        </w:rPr>
      </w:pPr>
      <w:r>
        <w:rPr>
          <w:rFonts w:ascii="Georgia" w:hAnsi="Georgia"/>
        </w:rPr>
        <w:t xml:space="preserve">              Mladen Šćulac, </w:t>
      </w:r>
      <w:proofErr w:type="spellStart"/>
      <w:r>
        <w:rPr>
          <w:rFonts w:ascii="Georgia" w:hAnsi="Georgia"/>
        </w:rPr>
        <w:t>dipl.ing.sig</w:t>
      </w:r>
      <w:proofErr w:type="spellEnd"/>
      <w:r>
        <w:rPr>
          <w:rFonts w:ascii="Georgia" w:hAnsi="Georgia"/>
        </w:rPr>
        <w:t>.</w:t>
      </w:r>
      <w:r w:rsidR="009E5544">
        <w:rPr>
          <w:rFonts w:ascii="Georgia" w:hAnsi="Georgia"/>
        </w:rPr>
        <w:t>, v.r.</w:t>
      </w:r>
    </w:p>
    <w:p w14:paraId="11F131D4" w14:textId="77777777" w:rsidR="006E4FC1" w:rsidRPr="00724570" w:rsidRDefault="006E4FC1" w:rsidP="00940018">
      <w:pPr>
        <w:pStyle w:val="Bezproreda"/>
        <w:rPr>
          <w:rFonts w:ascii="Georgia" w:hAnsi="Georgia"/>
        </w:rPr>
      </w:pPr>
    </w:p>
    <w:p w14:paraId="2D58FB70" w14:textId="77777777" w:rsidR="00940018" w:rsidRDefault="006E4FC1" w:rsidP="00940018">
      <w:pPr>
        <w:pStyle w:val="Bezproreda"/>
        <w:rPr>
          <w:rFonts w:ascii="Georgia" w:hAnsi="Georgia"/>
        </w:rPr>
      </w:pPr>
      <w:r w:rsidRPr="00724570">
        <w:rPr>
          <w:rFonts w:ascii="Georgia" w:hAnsi="Georgia"/>
        </w:rPr>
        <w:t xml:space="preserve">                                                                          </w:t>
      </w:r>
    </w:p>
    <w:p w14:paraId="6D113FF2" w14:textId="629E7645" w:rsidR="006E4FC1" w:rsidRPr="00724570" w:rsidRDefault="00940018" w:rsidP="00940018">
      <w:pPr>
        <w:pStyle w:val="Bezproreda"/>
        <w:ind w:firstLine="4678"/>
        <w:rPr>
          <w:rFonts w:ascii="Georgia" w:hAnsi="Georgia"/>
        </w:rPr>
      </w:pPr>
      <w:r>
        <w:rPr>
          <w:rFonts w:ascii="Georgia" w:hAnsi="Georgia"/>
        </w:rPr>
        <w:t xml:space="preserve">          </w:t>
      </w:r>
      <w:r w:rsidR="009E5544">
        <w:rPr>
          <w:rFonts w:ascii="Georgia" w:hAnsi="Georgia"/>
        </w:rPr>
        <w:t xml:space="preserve">     </w:t>
      </w:r>
      <w:r>
        <w:rPr>
          <w:rFonts w:ascii="Georgia" w:hAnsi="Georgia"/>
        </w:rPr>
        <w:t xml:space="preserve">   </w:t>
      </w:r>
      <w:r w:rsidR="006E4FC1" w:rsidRPr="00724570">
        <w:rPr>
          <w:rFonts w:ascii="Georgia" w:hAnsi="Georgia"/>
        </w:rPr>
        <w:t>___________________</w:t>
      </w:r>
    </w:p>
    <w:p w14:paraId="49CF0E04" w14:textId="77777777" w:rsidR="006E4FC1" w:rsidRPr="00724570" w:rsidRDefault="006E4FC1" w:rsidP="00940018">
      <w:pPr>
        <w:pStyle w:val="Bezproreda"/>
        <w:rPr>
          <w:rFonts w:ascii="Georgia" w:hAnsi="Georgia"/>
        </w:rPr>
      </w:pPr>
    </w:p>
    <w:p w14:paraId="1286FC45" w14:textId="77777777" w:rsidR="005E6935" w:rsidRDefault="005E6935" w:rsidP="00724570">
      <w:pPr>
        <w:pStyle w:val="Bezproreda"/>
        <w:jc w:val="both"/>
        <w:rPr>
          <w:rFonts w:ascii="Georgia" w:hAnsi="Georgia"/>
        </w:rPr>
      </w:pPr>
    </w:p>
    <w:p w14:paraId="0247E4C2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257EE189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611395A4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637A3489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0AD5F9C7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0B69A6A8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65B84D80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1D0F0384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6C180D07" w14:textId="77777777" w:rsidR="00940018" w:rsidRDefault="00940018" w:rsidP="00724570">
      <w:pPr>
        <w:pStyle w:val="Bezproreda"/>
        <w:jc w:val="both"/>
        <w:rPr>
          <w:rFonts w:ascii="Georgia" w:hAnsi="Georgia"/>
        </w:rPr>
      </w:pPr>
    </w:p>
    <w:p w14:paraId="0F79D67E" w14:textId="64069892" w:rsidR="00940018" w:rsidRDefault="00940018" w:rsidP="00724570">
      <w:pPr>
        <w:pStyle w:val="Bezproreda"/>
        <w:jc w:val="both"/>
        <w:rPr>
          <w:rFonts w:ascii="Georgia" w:hAnsi="Georgia"/>
        </w:rPr>
      </w:pPr>
      <w:r>
        <w:rPr>
          <w:rFonts w:ascii="Georgia" w:hAnsi="Georgia"/>
        </w:rPr>
        <w:t xml:space="preserve">KLASA: </w:t>
      </w:r>
      <w:r w:rsidRPr="00724570">
        <w:rPr>
          <w:rFonts w:ascii="Georgia" w:hAnsi="Georgia"/>
        </w:rPr>
        <w:t>119-02/24-01-1</w:t>
      </w:r>
    </w:p>
    <w:p w14:paraId="29931D3C" w14:textId="68EFF472" w:rsidR="00940018" w:rsidRPr="00724570" w:rsidRDefault="00940018" w:rsidP="00724570">
      <w:pPr>
        <w:pStyle w:val="Bezproreda"/>
        <w:jc w:val="both"/>
        <w:rPr>
          <w:rFonts w:ascii="Georgia" w:hAnsi="Georgia"/>
        </w:rPr>
      </w:pPr>
      <w:r w:rsidRPr="00724570">
        <w:rPr>
          <w:rFonts w:ascii="Georgia" w:hAnsi="Georgia"/>
        </w:rPr>
        <w:t>URBROJ:2156-9/01-2</w:t>
      </w:r>
      <w:r>
        <w:rPr>
          <w:rFonts w:ascii="Georgia" w:hAnsi="Georgia"/>
        </w:rPr>
        <w:t>6</w:t>
      </w:r>
      <w:r w:rsidRPr="00724570">
        <w:rPr>
          <w:rFonts w:ascii="Georgia" w:hAnsi="Georgia"/>
        </w:rPr>
        <w:t>-1</w:t>
      </w:r>
    </w:p>
    <w:sectPr w:rsidR="00940018" w:rsidRPr="00724570" w:rsidSect="006E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96"/>
    <w:rsid w:val="00290E4E"/>
    <w:rsid w:val="005E6935"/>
    <w:rsid w:val="006031E6"/>
    <w:rsid w:val="006E4FC1"/>
    <w:rsid w:val="007122BD"/>
    <w:rsid w:val="00724570"/>
    <w:rsid w:val="00871796"/>
    <w:rsid w:val="00940018"/>
    <w:rsid w:val="009E5544"/>
    <w:rsid w:val="00CB4853"/>
    <w:rsid w:val="00F95ACE"/>
    <w:rsid w:val="00FB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80F"/>
  <w15:chartTrackingRefBased/>
  <w15:docId w15:val="{F94FE21B-325B-467F-93F0-47B85E24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C1"/>
  </w:style>
  <w:style w:type="paragraph" w:styleId="Naslov1">
    <w:name w:val="heading 1"/>
    <w:basedOn w:val="Normal"/>
    <w:next w:val="Normal"/>
    <w:link w:val="Naslov1Char"/>
    <w:uiPriority w:val="9"/>
    <w:qFormat/>
    <w:rsid w:val="0087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1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1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1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1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1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1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1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1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1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17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17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17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17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17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17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1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1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17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17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17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1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17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1796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6E4FC1"/>
    <w:rPr>
      <w:b/>
      <w:bCs/>
    </w:rPr>
  </w:style>
  <w:style w:type="paragraph" w:customStyle="1" w:styleId="box478334">
    <w:name w:val="box_478334"/>
    <w:basedOn w:val="Normal"/>
    <w:rsid w:val="006E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724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Manarin</dc:creator>
  <cp:keywords/>
  <dc:description/>
  <cp:lastModifiedBy>Vatrogasci Opatija</cp:lastModifiedBy>
  <cp:revision>4</cp:revision>
  <dcterms:created xsi:type="dcterms:W3CDTF">2026-04-13T04:09:00Z</dcterms:created>
  <dcterms:modified xsi:type="dcterms:W3CDTF">2026-05-29T07:13:00Z</dcterms:modified>
</cp:coreProperties>
</file>